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82" w:rsidRPr="00392450" w:rsidRDefault="00403E82" w:rsidP="00403E82">
      <w:pPr>
        <w:jc w:val="center"/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</w:pPr>
      <w:r w:rsidRPr="00392450">
        <w:rPr>
          <w:rFonts w:ascii="华文中宋" w:eastAsia="华文中宋" w:hAnsi="华文中宋" w:hint="eastAsia"/>
          <w:color w:val="FF0000"/>
          <w:spacing w:val="20"/>
          <w:w w:val="86"/>
          <w:sz w:val="84"/>
          <w:szCs w:val="84"/>
        </w:rPr>
        <w:t>上饶市农业农村局</w:t>
      </w:r>
      <w:r w:rsidRPr="00392450"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  <w:t xml:space="preserve"> (</w:t>
      </w:r>
      <w:r w:rsidRPr="00392450">
        <w:rPr>
          <w:rFonts w:ascii="华文中宋" w:eastAsia="华文中宋" w:hAnsi="华文中宋" w:hint="eastAsia"/>
          <w:color w:val="FF0000"/>
          <w:sz w:val="84"/>
          <w:szCs w:val="84"/>
        </w:rPr>
        <w:t>函</w:t>
      </w:r>
      <w:r w:rsidRPr="00392450"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  <w:t>)</w:t>
      </w:r>
    </w:p>
    <w:p w:rsidR="00403E82" w:rsidRPr="00392450" w:rsidRDefault="00403E82" w:rsidP="00403E82">
      <w:pPr>
        <w:spacing w:line="400" w:lineRule="exact"/>
        <w:ind w:rightChars="50" w:right="160"/>
        <w:jc w:val="right"/>
        <w:rPr>
          <w:szCs w:val="32"/>
        </w:rPr>
      </w:pPr>
    </w:p>
    <w:p w:rsidR="00403E82" w:rsidRPr="00392450" w:rsidRDefault="00403E82" w:rsidP="00403E82">
      <w:pPr>
        <w:spacing w:line="400" w:lineRule="exact"/>
        <w:ind w:rightChars="50" w:right="160"/>
        <w:jc w:val="right"/>
        <w:rPr>
          <w:szCs w:val="32"/>
        </w:rPr>
      </w:pPr>
      <w:proofErr w:type="gramStart"/>
      <w:r>
        <w:rPr>
          <w:rFonts w:hint="eastAsia"/>
          <w:szCs w:val="32"/>
        </w:rPr>
        <w:t>饶农</w:t>
      </w:r>
      <w:r w:rsidRPr="00392450">
        <w:rPr>
          <w:rFonts w:hint="eastAsia"/>
          <w:szCs w:val="32"/>
        </w:rPr>
        <w:t>提</w:t>
      </w:r>
      <w:proofErr w:type="gramEnd"/>
      <w:r w:rsidRPr="00392450">
        <w:rPr>
          <w:rFonts w:hint="eastAsia"/>
          <w:szCs w:val="32"/>
        </w:rPr>
        <w:t>字〔</w:t>
      </w:r>
      <w:r w:rsidRPr="00392450">
        <w:rPr>
          <w:szCs w:val="32"/>
        </w:rPr>
        <w:t>202</w:t>
      </w:r>
      <w:r w:rsidRPr="00392450">
        <w:rPr>
          <w:rFonts w:hint="eastAsia"/>
          <w:szCs w:val="32"/>
        </w:rPr>
        <w:t>2</w:t>
      </w:r>
      <w:r w:rsidRPr="00392450">
        <w:rPr>
          <w:rFonts w:hint="eastAsia"/>
          <w:szCs w:val="32"/>
        </w:rPr>
        <w:t>〕</w:t>
      </w:r>
      <w:r>
        <w:rPr>
          <w:rFonts w:hint="eastAsia"/>
          <w:szCs w:val="32"/>
        </w:rPr>
        <w:t>9</w:t>
      </w:r>
      <w:r w:rsidRPr="00392450">
        <w:rPr>
          <w:rFonts w:hint="eastAsia"/>
          <w:szCs w:val="32"/>
        </w:rPr>
        <w:t>号</w:t>
      </w:r>
      <w:r w:rsidRPr="00392450">
        <w:rPr>
          <w:rFonts w:hint="eastAsia"/>
          <w:szCs w:val="32"/>
        </w:rPr>
        <w:t xml:space="preserve">                                                   </w:t>
      </w:r>
      <w:r w:rsidRPr="00392450">
        <w:rPr>
          <w:rFonts w:hint="eastAsia"/>
          <w:szCs w:val="32"/>
        </w:rPr>
        <w:t>分类：</w:t>
      </w:r>
      <w:r w:rsidRPr="00392450">
        <w:rPr>
          <w:szCs w:val="32"/>
        </w:rPr>
        <w:t xml:space="preserve"> </w:t>
      </w:r>
      <w:r>
        <w:rPr>
          <w:rFonts w:hint="eastAsia"/>
          <w:szCs w:val="32"/>
        </w:rPr>
        <w:t>A</w:t>
      </w:r>
      <w:r w:rsidRPr="00392450">
        <w:rPr>
          <w:rFonts w:hint="eastAsia"/>
          <w:color w:val="FFFFFF"/>
          <w:szCs w:val="32"/>
        </w:rPr>
        <w:t>（</w:t>
      </w:r>
    </w:p>
    <w:p w:rsidR="00403E82" w:rsidRDefault="00403E82" w:rsidP="00403E82"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关</w:t>
      </w:r>
      <w:r>
        <w:rPr>
          <w:rFonts w:eastAsia="方正小标宋_GBK"/>
          <w:sz w:val="44"/>
          <w:szCs w:val="44"/>
        </w:rPr>
        <w:t>于市政协</w:t>
      </w:r>
      <w:r>
        <w:rPr>
          <w:rFonts w:eastAsia="方正小标宋_GBK" w:hint="eastAsia"/>
          <w:sz w:val="44"/>
          <w:szCs w:val="44"/>
        </w:rPr>
        <w:t>五</w:t>
      </w:r>
      <w:r>
        <w:rPr>
          <w:rFonts w:eastAsia="方正小标宋_GBK"/>
          <w:sz w:val="44"/>
          <w:szCs w:val="44"/>
        </w:rPr>
        <w:t>届</w:t>
      </w:r>
      <w:r>
        <w:rPr>
          <w:rFonts w:eastAsia="方正小标宋_GBK" w:hint="eastAsia"/>
          <w:sz w:val="44"/>
          <w:szCs w:val="44"/>
        </w:rPr>
        <w:t>二</w:t>
      </w:r>
      <w:r>
        <w:rPr>
          <w:rFonts w:eastAsia="方正小标宋_GBK"/>
          <w:sz w:val="44"/>
          <w:szCs w:val="44"/>
        </w:rPr>
        <w:t>次会议</w:t>
      </w:r>
    </w:p>
    <w:p w:rsidR="00403E82" w:rsidRDefault="00403E82" w:rsidP="00403E82"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第</w:t>
      </w:r>
      <w:r>
        <w:rPr>
          <w:rFonts w:eastAsia="方正小标宋_GBK" w:hint="eastAsia"/>
          <w:sz w:val="44"/>
          <w:szCs w:val="44"/>
        </w:rPr>
        <w:t>074</w:t>
      </w:r>
      <w:r>
        <w:rPr>
          <w:rFonts w:eastAsia="方正小标宋_GBK"/>
          <w:sz w:val="44"/>
          <w:szCs w:val="44"/>
        </w:rPr>
        <w:t>号提案的答复</w:t>
      </w:r>
    </w:p>
    <w:p w:rsidR="00403E82" w:rsidRDefault="00403E82" w:rsidP="00403E82">
      <w:pPr>
        <w:spacing w:line="640" w:lineRule="exact"/>
        <w:jc w:val="center"/>
        <w:rPr>
          <w:rFonts w:eastAsia="方正小标宋_GBK"/>
          <w:sz w:val="44"/>
          <w:szCs w:val="44"/>
        </w:rPr>
      </w:pPr>
    </w:p>
    <w:p w:rsidR="0087140F" w:rsidRDefault="00591D30">
      <w:pPr>
        <w:spacing w:line="600" w:lineRule="exac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尊敬的章毅</w:t>
      </w:r>
      <w:r>
        <w:rPr>
          <w:rFonts w:ascii="仿宋_GB2312" w:hAnsi="仿宋_GB2312" w:cs="仿宋_GB2312" w:hint="eastAsia"/>
          <w:szCs w:val="32"/>
        </w:rPr>
        <w:t>委员</w:t>
      </w:r>
      <w:r>
        <w:rPr>
          <w:rFonts w:ascii="仿宋_GB2312" w:hAnsi="仿宋_GB2312" w:cs="仿宋_GB2312" w:hint="eastAsia"/>
          <w:szCs w:val="32"/>
        </w:rPr>
        <w:t>：</w:t>
      </w:r>
    </w:p>
    <w:p w:rsidR="0087140F" w:rsidRDefault="00591D30">
      <w:pPr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您提出的关于进一步加大对农业企业的扶持力度的建议收悉。经我局认真研究，现答复如下。</w:t>
      </w:r>
    </w:p>
    <w:p w:rsidR="0087140F" w:rsidRDefault="00591D30">
      <w:pPr>
        <w:spacing w:line="60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近年来，市农业农村局按照市委、市政府部署，围绕优质稻、蔬菜、果业、茶叶、畜禽、水产、中药材、笋竹、油茶、</w:t>
      </w:r>
      <w:proofErr w:type="gramStart"/>
      <w:r>
        <w:rPr>
          <w:rFonts w:ascii="仿宋_GB2312" w:hAnsi="仿宋_GB2312" w:cs="仿宋_GB2312" w:hint="eastAsia"/>
          <w:szCs w:val="32"/>
        </w:rPr>
        <w:t>农旅“十大”</w:t>
      </w:r>
      <w:proofErr w:type="gramEnd"/>
      <w:r>
        <w:rPr>
          <w:rFonts w:ascii="仿宋_GB2312" w:hAnsi="仿宋_GB2312" w:cs="仿宋_GB2312" w:hint="eastAsia"/>
          <w:szCs w:val="32"/>
        </w:rPr>
        <w:t>主导特色农业发展布局，以全面实施乡村振兴发展战略为抓手</w:t>
      </w:r>
      <w:r>
        <w:rPr>
          <w:rFonts w:ascii="仿宋_GB2312" w:hAnsi="仿宋_GB2312" w:cs="仿宋_GB2312"/>
          <w:szCs w:val="32"/>
          <w:lang/>
        </w:rPr>
        <w:t>,</w:t>
      </w:r>
      <w:r>
        <w:rPr>
          <w:rFonts w:ascii="仿宋_GB2312" w:hAnsi="仿宋_GB2312" w:cs="仿宋_GB2312" w:hint="eastAsia"/>
          <w:szCs w:val="32"/>
        </w:rPr>
        <w:t>大力发展乡村产业，培育壮大龙头企业，引导龙头企业带动农民合作社、家庭农场、小农户共同发展</w:t>
      </w:r>
      <w:r>
        <w:rPr>
          <w:rFonts w:ascii="仿宋_GB2312" w:hAnsi="仿宋_GB2312" w:cs="仿宋_GB2312" w:hint="eastAsia"/>
          <w:szCs w:val="32"/>
        </w:rPr>
        <w:t>，助力了乡村振兴</w:t>
      </w:r>
      <w:r>
        <w:rPr>
          <w:rFonts w:ascii="仿宋_GB2312" w:hAnsi="仿宋_GB2312" w:cs="仿宋_GB2312" w:hint="eastAsia"/>
          <w:szCs w:val="32"/>
        </w:rPr>
        <w:t>。</w:t>
      </w:r>
    </w:p>
    <w:p w:rsidR="0087140F" w:rsidRDefault="00591D30">
      <w:pPr>
        <w:spacing w:line="600" w:lineRule="exact"/>
        <w:ind w:firstLineChars="200" w:firstLine="640"/>
        <w:jc w:val="left"/>
        <w:rPr>
          <w:szCs w:val="32"/>
        </w:rPr>
      </w:pPr>
      <w:r>
        <w:rPr>
          <w:rFonts w:ascii="黑体" w:eastAsia="黑体" w:hAnsi="黑体" w:cs="黑体" w:hint="eastAsia"/>
          <w:szCs w:val="32"/>
        </w:rPr>
        <w:t>一、主要工作开展情况</w:t>
      </w:r>
    </w:p>
    <w:p w:rsidR="0087140F" w:rsidRDefault="00591D30" w:rsidP="00403E82">
      <w:pPr>
        <w:spacing w:line="600" w:lineRule="exact"/>
        <w:ind w:firstLineChars="200" w:firstLine="633"/>
        <w:rPr>
          <w:szCs w:val="32"/>
        </w:rPr>
      </w:pPr>
      <w:r>
        <w:rPr>
          <w:rFonts w:ascii="仿宋_GB2312" w:hint="eastAsia"/>
          <w:b/>
          <w:w w:val="98"/>
          <w:kern w:val="21"/>
          <w:szCs w:val="32"/>
        </w:rPr>
        <w:t>（一）产业化经营取得显著成效。</w:t>
      </w:r>
      <w:r>
        <w:rPr>
          <w:rFonts w:ascii="仿宋_GB2312" w:hAnsi="华文楷体" w:cs="华文楷体" w:hint="eastAsia"/>
          <w:b/>
          <w:kern w:val="21"/>
          <w:szCs w:val="32"/>
        </w:rPr>
        <w:t>一是</w:t>
      </w:r>
      <w:r>
        <w:rPr>
          <w:rFonts w:ascii="仿宋_GB2312" w:hint="eastAsia"/>
          <w:bCs/>
          <w:kern w:val="21"/>
          <w:szCs w:val="32"/>
        </w:rPr>
        <w:t>因地制宜布局乡村振兴产业带，形成了优质稻、水产、蔬菜</w:t>
      </w:r>
      <w:r>
        <w:rPr>
          <w:rFonts w:ascii="仿宋_GB2312" w:hint="eastAsia"/>
          <w:bCs/>
          <w:kern w:val="21"/>
          <w:szCs w:val="32"/>
        </w:rPr>
        <w:t>3</w:t>
      </w:r>
      <w:r>
        <w:rPr>
          <w:rFonts w:ascii="仿宋_GB2312" w:hint="eastAsia"/>
          <w:bCs/>
          <w:kern w:val="21"/>
          <w:szCs w:val="32"/>
        </w:rPr>
        <w:t>个国家优势特色产业集群，创建了广丰马家柚、婺源绿茶</w:t>
      </w:r>
      <w:r>
        <w:rPr>
          <w:rFonts w:ascii="仿宋_GB2312" w:hint="eastAsia"/>
          <w:bCs/>
          <w:kern w:val="21"/>
          <w:szCs w:val="32"/>
        </w:rPr>
        <w:t>2</w:t>
      </w:r>
      <w:r>
        <w:rPr>
          <w:rFonts w:ascii="仿宋_GB2312" w:hint="eastAsia"/>
          <w:bCs/>
          <w:kern w:val="21"/>
          <w:szCs w:val="32"/>
        </w:rPr>
        <w:t>个中国特色农产品优势区，推动马家柚、茶叶、虾蟹等产业种养面积均超过</w:t>
      </w:r>
      <w:r>
        <w:rPr>
          <w:rFonts w:ascii="仿宋_GB2312" w:hint="eastAsia"/>
          <w:bCs/>
          <w:kern w:val="21"/>
          <w:szCs w:val="32"/>
        </w:rPr>
        <w:t>40</w:t>
      </w:r>
      <w:r>
        <w:rPr>
          <w:rFonts w:ascii="仿宋_GB2312" w:hint="eastAsia"/>
          <w:bCs/>
          <w:kern w:val="21"/>
          <w:szCs w:val="32"/>
        </w:rPr>
        <w:t>万亩，蔬菜种植面积超过</w:t>
      </w:r>
      <w:r>
        <w:rPr>
          <w:rFonts w:ascii="仿宋_GB2312" w:hint="eastAsia"/>
          <w:bCs/>
          <w:kern w:val="21"/>
          <w:szCs w:val="32"/>
        </w:rPr>
        <w:t>170</w:t>
      </w:r>
      <w:r>
        <w:rPr>
          <w:rFonts w:ascii="仿宋_GB2312" w:hint="eastAsia"/>
          <w:bCs/>
          <w:kern w:val="21"/>
          <w:szCs w:val="32"/>
        </w:rPr>
        <w:t>万亩，优质稻种植面积</w:t>
      </w:r>
      <w:r>
        <w:rPr>
          <w:rFonts w:ascii="仿宋_GB2312" w:hint="eastAsia"/>
          <w:bCs/>
          <w:kern w:val="21"/>
          <w:szCs w:val="32"/>
        </w:rPr>
        <w:lastRenderedPageBreak/>
        <w:t>超过</w:t>
      </w:r>
      <w:r>
        <w:rPr>
          <w:rFonts w:ascii="仿宋_GB2312" w:hint="eastAsia"/>
          <w:bCs/>
          <w:kern w:val="21"/>
          <w:szCs w:val="32"/>
        </w:rPr>
        <w:t>240</w:t>
      </w:r>
      <w:r>
        <w:rPr>
          <w:rFonts w:ascii="仿宋_GB2312" w:hint="eastAsia"/>
          <w:bCs/>
          <w:kern w:val="21"/>
          <w:szCs w:val="32"/>
        </w:rPr>
        <w:t>万亩。</w:t>
      </w:r>
      <w:r>
        <w:rPr>
          <w:rFonts w:ascii="仿宋_GB2312" w:hAnsi="华文楷体" w:cs="华文楷体" w:hint="eastAsia"/>
          <w:b/>
          <w:kern w:val="21"/>
          <w:szCs w:val="32"/>
        </w:rPr>
        <w:t>二是</w:t>
      </w:r>
      <w:r>
        <w:rPr>
          <w:rFonts w:ascii="仿宋_GB2312" w:hint="eastAsia"/>
          <w:kern w:val="21"/>
          <w:szCs w:val="32"/>
        </w:rPr>
        <w:t>推动生产要素向园区集中、优势产业向园区集聚，促进农业产业化、多功能化经营。全市共有</w:t>
      </w:r>
      <w:r>
        <w:rPr>
          <w:rFonts w:ascii="仿宋_GB2312" w:hint="eastAsia"/>
          <w:kern w:val="21"/>
          <w:szCs w:val="32"/>
        </w:rPr>
        <w:t>1</w:t>
      </w:r>
      <w:r>
        <w:rPr>
          <w:rFonts w:ascii="仿宋_GB2312" w:hint="eastAsia"/>
          <w:kern w:val="21"/>
          <w:szCs w:val="32"/>
        </w:rPr>
        <w:t>个国家级现代农业示范区、</w:t>
      </w:r>
      <w:r>
        <w:rPr>
          <w:rFonts w:ascii="仿宋_GB2312" w:hint="eastAsia"/>
          <w:kern w:val="21"/>
          <w:szCs w:val="32"/>
        </w:rPr>
        <w:t>36</w:t>
      </w:r>
      <w:r>
        <w:rPr>
          <w:rFonts w:ascii="仿宋_GB2312" w:hint="eastAsia"/>
          <w:kern w:val="21"/>
          <w:szCs w:val="32"/>
        </w:rPr>
        <w:t>个省级现代农业示范园区。</w:t>
      </w:r>
      <w:r>
        <w:rPr>
          <w:rFonts w:ascii="仿宋_GB2312" w:hAnsi="华文楷体" w:cs="华文楷体" w:hint="eastAsia"/>
          <w:b/>
          <w:kern w:val="21"/>
          <w:szCs w:val="32"/>
        </w:rPr>
        <w:t>三是</w:t>
      </w:r>
      <w:r>
        <w:rPr>
          <w:rFonts w:ascii="仿宋_GB2312" w:hint="eastAsia"/>
          <w:kern w:val="21"/>
          <w:szCs w:val="32"/>
        </w:rPr>
        <w:t>积极扶持农业龙头企业做大做强，引进培育鄱阳湖米业、山东鲁花、</w:t>
      </w:r>
      <w:r>
        <w:rPr>
          <w:kern w:val="21"/>
          <w:szCs w:val="32"/>
        </w:rPr>
        <w:t>正稀茗茶</w:t>
      </w:r>
      <w:r>
        <w:rPr>
          <w:rFonts w:ascii="仿宋_GB2312" w:hint="eastAsia"/>
          <w:kern w:val="21"/>
          <w:szCs w:val="32"/>
        </w:rPr>
        <w:t>等一批领军企业，现有国家级龙头企业</w:t>
      </w:r>
      <w:r>
        <w:rPr>
          <w:rFonts w:ascii="仿宋_GB2312" w:hint="eastAsia"/>
          <w:kern w:val="21"/>
          <w:szCs w:val="32"/>
        </w:rPr>
        <w:t>9</w:t>
      </w:r>
      <w:r>
        <w:rPr>
          <w:rFonts w:ascii="仿宋_GB2312" w:hint="eastAsia"/>
          <w:kern w:val="21"/>
          <w:szCs w:val="32"/>
        </w:rPr>
        <w:t>家、省级龙头企业</w:t>
      </w:r>
      <w:r>
        <w:rPr>
          <w:rFonts w:ascii="仿宋_GB2312" w:hint="eastAsia"/>
          <w:kern w:val="21"/>
          <w:szCs w:val="32"/>
        </w:rPr>
        <w:t>125</w:t>
      </w:r>
      <w:r>
        <w:rPr>
          <w:rFonts w:ascii="仿宋_GB2312" w:hint="eastAsia"/>
          <w:kern w:val="21"/>
          <w:szCs w:val="32"/>
        </w:rPr>
        <w:t>家</w:t>
      </w:r>
      <w:r>
        <w:rPr>
          <w:rFonts w:ascii="仿宋_GB2312" w:hint="eastAsia"/>
          <w:kern w:val="21"/>
          <w:szCs w:val="32"/>
        </w:rPr>
        <w:t>。指导农民合作社切实加强“五个规范”建设（即设立程序规范、运行机制规范、民主管理规范、财务核算规范、利益分配规范），严格落实“四项制度”（即生产管理制度、财务管理制度、盈余分配制度、档案管理制度</w:t>
      </w:r>
      <w:r>
        <w:rPr>
          <w:rFonts w:ascii="仿宋_GB2312" w:hint="eastAsia"/>
          <w:kern w:val="21"/>
          <w:szCs w:val="32"/>
        </w:rPr>
        <w:t>),</w:t>
      </w:r>
      <w:r>
        <w:rPr>
          <w:rFonts w:ascii="仿宋_GB2312" w:hint="eastAsia"/>
          <w:kern w:val="21"/>
          <w:szCs w:val="32"/>
        </w:rPr>
        <w:t>充分发挥“三会”功能（即社员大会、理事会、监事会）</w:t>
      </w:r>
      <w:r>
        <w:rPr>
          <w:rFonts w:ascii="仿宋_GB2312" w:hint="eastAsia"/>
          <w:kern w:val="21"/>
          <w:szCs w:val="32"/>
        </w:rPr>
        <w:t>,</w:t>
      </w:r>
      <w:r>
        <w:rPr>
          <w:rFonts w:ascii="仿宋_GB2312" w:hint="eastAsia"/>
          <w:kern w:val="21"/>
          <w:szCs w:val="32"/>
        </w:rPr>
        <w:t>实现自我组建、自我管理、自我服务、自我受益。引导合作社为社员提供农资供应、生产管理、技术培训、加工销售、政策咨询和市场信息等产前、产中、产后的社会化综合服务，帮助成员实现增产增收。</w:t>
      </w:r>
    </w:p>
    <w:p w:rsidR="0087140F" w:rsidRDefault="00591D30" w:rsidP="00403E82">
      <w:pPr>
        <w:spacing w:line="600" w:lineRule="exact"/>
        <w:ind w:firstLineChars="200" w:firstLine="633"/>
        <w:rPr>
          <w:rFonts w:ascii="仿宋_GB2312" w:cs="仿宋_GB2312"/>
          <w:color w:val="000000"/>
          <w:szCs w:val="32"/>
        </w:rPr>
      </w:pPr>
      <w:r>
        <w:rPr>
          <w:rFonts w:ascii="仿宋_GB2312" w:hint="eastAsia"/>
          <w:b/>
          <w:w w:val="98"/>
          <w:kern w:val="21"/>
          <w:szCs w:val="32"/>
        </w:rPr>
        <w:t>（二）</w:t>
      </w:r>
      <w:r>
        <w:rPr>
          <w:rFonts w:ascii="仿宋_GB2312" w:hint="eastAsia"/>
          <w:b/>
          <w:w w:val="98"/>
          <w:kern w:val="21"/>
          <w:szCs w:val="32"/>
        </w:rPr>
        <w:t>优化农业企业发展环境。</w:t>
      </w:r>
      <w:r>
        <w:rPr>
          <w:rFonts w:ascii="仿宋_GB2312" w:hint="eastAsia"/>
          <w:b/>
          <w:w w:val="98"/>
          <w:kern w:val="21"/>
          <w:szCs w:val="32"/>
        </w:rPr>
        <w:t>一是</w:t>
      </w:r>
      <w:r>
        <w:rPr>
          <w:rFonts w:ascii="仿宋" w:eastAsia="仿宋" w:hAnsi="仿宋" w:hint="eastAsia"/>
          <w:szCs w:val="32"/>
        </w:rPr>
        <w:t>完善政策</w:t>
      </w:r>
      <w:r>
        <w:rPr>
          <w:rFonts w:ascii="仿宋" w:eastAsia="仿宋" w:hAnsi="仿宋" w:hint="eastAsia"/>
          <w:szCs w:val="32"/>
        </w:rPr>
        <w:t>引导各银行机构加大对涉农领域的金融支持，持续加大对农业产业信贷投放，对涉农领域特别是农业龙头企业等主体和项目，要优先</w:t>
      </w:r>
      <w:proofErr w:type="gramStart"/>
      <w:r>
        <w:rPr>
          <w:rFonts w:ascii="仿宋" w:eastAsia="仿宋" w:hAnsi="仿宋" w:hint="eastAsia"/>
          <w:szCs w:val="32"/>
        </w:rPr>
        <w:t>给于</w:t>
      </w:r>
      <w:proofErr w:type="gramEnd"/>
      <w:r>
        <w:rPr>
          <w:rFonts w:ascii="仿宋" w:eastAsia="仿宋" w:hAnsi="仿宋" w:hint="eastAsia"/>
          <w:szCs w:val="32"/>
        </w:rPr>
        <w:t>信贷支持。积极创新适用信贷产品，创新符合</w:t>
      </w:r>
      <w:proofErr w:type="gramStart"/>
      <w:r>
        <w:rPr>
          <w:rFonts w:ascii="仿宋" w:eastAsia="仿宋" w:hAnsi="仿宋" w:hint="eastAsia"/>
          <w:szCs w:val="32"/>
        </w:rPr>
        <w:t>二农特点</w:t>
      </w:r>
      <w:proofErr w:type="gramEnd"/>
      <w:r>
        <w:rPr>
          <w:rFonts w:ascii="仿宋" w:eastAsia="仿宋" w:hAnsi="仿宋" w:hint="eastAsia"/>
          <w:szCs w:val="32"/>
        </w:rPr>
        <w:t>的信贷产品，不断优化三</w:t>
      </w:r>
      <w:proofErr w:type="gramStart"/>
      <w:r>
        <w:rPr>
          <w:rFonts w:ascii="仿宋" w:eastAsia="仿宋" w:hAnsi="仿宋" w:hint="eastAsia"/>
          <w:szCs w:val="32"/>
        </w:rPr>
        <w:t>农领域</w:t>
      </w:r>
      <w:proofErr w:type="gramEnd"/>
      <w:r>
        <w:rPr>
          <w:rFonts w:ascii="仿宋" w:eastAsia="仿宋" w:hAnsi="仿宋" w:hint="eastAsia"/>
          <w:szCs w:val="32"/>
        </w:rPr>
        <w:t>金融服务，切实加大对涉农领域的信贷支持力度。截至到目前，全市普</w:t>
      </w:r>
      <w:proofErr w:type="gramStart"/>
      <w:r>
        <w:rPr>
          <w:rFonts w:ascii="仿宋" w:eastAsia="仿宋" w:hAnsi="仿宋" w:hint="eastAsia"/>
          <w:szCs w:val="32"/>
        </w:rPr>
        <w:t>惠型涉农</w:t>
      </w:r>
      <w:proofErr w:type="gramEnd"/>
      <w:r>
        <w:rPr>
          <w:rFonts w:ascii="仿宋" w:eastAsia="仿宋" w:hAnsi="仿宋" w:hint="eastAsia"/>
          <w:szCs w:val="32"/>
        </w:rPr>
        <w:t>贷款余美</w:t>
      </w:r>
      <w:r>
        <w:rPr>
          <w:rFonts w:ascii="仿宋" w:eastAsia="仿宋" w:hAnsi="仿宋" w:hint="eastAsia"/>
          <w:szCs w:val="32"/>
        </w:rPr>
        <w:t>460.83</w:t>
      </w:r>
      <w:r>
        <w:rPr>
          <w:rFonts w:ascii="仿宋" w:eastAsia="仿宋" w:hAnsi="仿宋" w:hint="eastAsia"/>
          <w:szCs w:val="32"/>
        </w:rPr>
        <w:t>亿元，同比增长</w:t>
      </w:r>
      <w:r>
        <w:rPr>
          <w:rFonts w:ascii="仿宋" w:eastAsia="仿宋" w:hAnsi="仿宋" w:hint="eastAsia"/>
          <w:szCs w:val="32"/>
        </w:rPr>
        <w:t>4.26</w:t>
      </w:r>
      <w:r>
        <w:rPr>
          <w:rFonts w:ascii="仿宋" w:eastAsia="仿宋" w:hAnsi="仿宋" w:hint="eastAsia"/>
          <w:szCs w:val="32"/>
        </w:rPr>
        <w:t>亿元，增长</w:t>
      </w:r>
      <w:r>
        <w:rPr>
          <w:rFonts w:ascii="仿宋" w:eastAsia="仿宋" w:hAnsi="仿宋" w:hint="eastAsia"/>
          <w:szCs w:val="32"/>
        </w:rPr>
        <w:t>10.64</w:t>
      </w:r>
      <w:r>
        <w:rPr>
          <w:rFonts w:ascii="仿宋" w:eastAsia="仿宋" w:hAnsi="仿宋" w:hint="eastAsia"/>
          <w:szCs w:val="32"/>
        </w:rPr>
        <w:t>。</w:t>
      </w:r>
      <w:r>
        <w:rPr>
          <w:rFonts w:ascii="仿宋" w:eastAsia="仿宋" w:hAnsi="仿宋" w:hint="eastAsia"/>
          <w:b/>
          <w:bCs/>
          <w:szCs w:val="32"/>
        </w:rPr>
        <w:t>二是</w:t>
      </w:r>
      <w:r>
        <w:rPr>
          <w:rFonts w:ascii="仿宋" w:eastAsia="仿宋" w:hAnsi="仿宋" w:hint="eastAsia"/>
          <w:szCs w:val="32"/>
        </w:rPr>
        <w:t>调度各银行机构涉农信贷产品，并汇编成册配合农业农村局进行线上线下宣传。调度相关农业企业融资需求提供各银</w:t>
      </w:r>
      <w:r>
        <w:rPr>
          <w:rFonts w:ascii="仿宋" w:eastAsia="仿宋" w:hAnsi="仿宋" w:hint="eastAsia"/>
          <w:szCs w:val="32"/>
        </w:rPr>
        <w:lastRenderedPageBreak/>
        <w:t>行进行对接，进一步拓宽农业企业的融资渠道。并及时</w:t>
      </w:r>
      <w:proofErr w:type="gramStart"/>
      <w:r>
        <w:rPr>
          <w:rFonts w:ascii="仿宋" w:eastAsia="仿宋" w:hAnsi="仿宋" w:hint="eastAsia"/>
          <w:szCs w:val="32"/>
        </w:rPr>
        <w:t>了角解涉农</w:t>
      </w:r>
      <w:proofErr w:type="gramEnd"/>
      <w:r>
        <w:rPr>
          <w:rFonts w:ascii="仿宋" w:eastAsia="仿宋" w:hAnsi="仿宋" w:hint="eastAsia"/>
          <w:szCs w:val="32"/>
        </w:rPr>
        <w:t>贷款发放情况，推动</w:t>
      </w:r>
      <w:r>
        <w:rPr>
          <w:rFonts w:ascii="仿宋" w:eastAsia="仿宋" w:hAnsi="仿宋" w:hint="eastAsia"/>
          <w:szCs w:val="32"/>
        </w:rPr>
        <w:t>加快涉及农业生产</w:t>
      </w:r>
      <w:r>
        <w:rPr>
          <w:rFonts w:ascii="仿宋" w:eastAsia="仿宋" w:hAnsi="仿宋" w:hint="eastAsia"/>
          <w:szCs w:val="32"/>
        </w:rPr>
        <w:t>合理</w:t>
      </w:r>
      <w:r>
        <w:rPr>
          <w:rFonts w:ascii="仿宋" w:eastAsia="仿宋" w:hAnsi="仿宋" w:hint="eastAsia"/>
          <w:szCs w:val="32"/>
        </w:rPr>
        <w:t>信贷需求贷款发放进度。</w:t>
      </w:r>
      <w:r>
        <w:rPr>
          <w:rFonts w:ascii="仿宋_GB2312" w:cs="仿宋_GB2312" w:hint="eastAsia"/>
          <w:b/>
          <w:bCs/>
          <w:color w:val="000000"/>
          <w:szCs w:val="32"/>
        </w:rPr>
        <w:t>三</w:t>
      </w:r>
      <w:r>
        <w:rPr>
          <w:rFonts w:ascii="仿宋_GB2312" w:cs="仿宋_GB2312" w:hint="eastAsia"/>
          <w:b/>
          <w:bCs/>
          <w:color w:val="000000"/>
          <w:szCs w:val="32"/>
        </w:rPr>
        <w:t>是</w:t>
      </w:r>
      <w:r>
        <w:rPr>
          <w:rFonts w:ascii="仿宋_GB2312" w:cs="仿宋_GB2312" w:hint="eastAsia"/>
          <w:color w:val="000000"/>
          <w:szCs w:val="32"/>
        </w:rPr>
        <w:t>《农民专业合作社法》第六十五条明确规定，中央和地方财政应当分别安排资金，支持农民专业合作社开展信息、培训、农产品质量标准与认证、农业生产基础设施建设、市场营销和技术推广等服务。财政部专门增加了“农民合作组织科目”，列支农民专业合作社工作经费，各级财政在每年的财政预算中安排专门的扶持资金和工作经费，用于扶持农民专业合作社的发展。</w:t>
      </w:r>
    </w:p>
    <w:p w:rsidR="0087140F" w:rsidRDefault="00591D30" w:rsidP="00403E82">
      <w:pPr>
        <w:spacing w:line="600" w:lineRule="exact"/>
        <w:ind w:firstLineChars="200" w:firstLine="633"/>
      </w:pPr>
      <w:r>
        <w:rPr>
          <w:rFonts w:ascii="仿宋_GB2312" w:hint="eastAsia"/>
          <w:b/>
          <w:w w:val="98"/>
          <w:kern w:val="21"/>
          <w:szCs w:val="32"/>
        </w:rPr>
        <w:t>（三）</w:t>
      </w:r>
      <w:r>
        <w:rPr>
          <w:rFonts w:ascii="仿宋_GB2312" w:cs="仿宋_GB2312" w:hint="eastAsia"/>
          <w:b/>
          <w:bCs/>
          <w:color w:val="000000"/>
          <w:szCs w:val="32"/>
        </w:rPr>
        <w:t>加强科技人才队伍建设。一是</w:t>
      </w:r>
      <w:r>
        <w:rPr>
          <w:rFonts w:ascii="仿宋_GB2312" w:hint="eastAsia"/>
          <w:color w:val="000000"/>
          <w:szCs w:val="32"/>
        </w:rPr>
        <w:t>开展农民学历提升教育</w:t>
      </w:r>
      <w:r>
        <w:rPr>
          <w:rFonts w:ascii="仿宋_GB2312" w:hint="eastAsia"/>
          <w:color w:val="000000"/>
          <w:szCs w:val="32"/>
        </w:rPr>
        <w:t>，</w:t>
      </w:r>
      <w:r>
        <w:rPr>
          <w:rFonts w:ascii="仿宋_GB2312" w:hint="eastAsia"/>
          <w:color w:val="000000"/>
          <w:szCs w:val="32"/>
        </w:rPr>
        <w:t>深入实施“一村一名大学生工程”，推进工程与高职扩展对接，将高等教育资源延伸到农村，</w:t>
      </w:r>
      <w:r>
        <w:rPr>
          <w:rFonts w:ascii="仿宋_GB2312" w:hint="eastAsia"/>
          <w:color w:val="000000"/>
          <w:szCs w:val="32"/>
        </w:rPr>
        <w:t>培育和造就了一大批农业先进技术的传播者、产业发展带头人，基层组织顶梁柱和农民致富领路人。全市共培养农民大学生</w:t>
      </w:r>
      <w:r>
        <w:rPr>
          <w:rFonts w:ascii="仿宋_GB2312" w:hint="eastAsia"/>
          <w:color w:val="000000"/>
          <w:szCs w:val="32"/>
        </w:rPr>
        <w:t>9788</w:t>
      </w:r>
      <w:r>
        <w:rPr>
          <w:rFonts w:ascii="仿宋_GB2312" w:hint="eastAsia"/>
          <w:color w:val="000000"/>
          <w:szCs w:val="32"/>
        </w:rPr>
        <w:t>人，其中</w:t>
      </w:r>
      <w:r>
        <w:rPr>
          <w:rFonts w:ascii="仿宋_GB2312" w:hint="eastAsia"/>
          <w:color w:val="000000"/>
          <w:szCs w:val="32"/>
        </w:rPr>
        <w:t>40</w:t>
      </w:r>
      <w:r>
        <w:rPr>
          <w:rFonts w:ascii="仿宋_GB2312" w:hint="eastAsia"/>
          <w:color w:val="000000"/>
          <w:szCs w:val="32"/>
        </w:rPr>
        <w:t>岁及以下人员</w:t>
      </w:r>
      <w:r>
        <w:rPr>
          <w:rFonts w:ascii="仿宋_GB2312" w:hint="eastAsia"/>
          <w:color w:val="000000"/>
          <w:szCs w:val="32"/>
        </w:rPr>
        <w:t>5410</w:t>
      </w:r>
      <w:r>
        <w:rPr>
          <w:rFonts w:ascii="仿宋_GB2312" w:hint="eastAsia"/>
          <w:color w:val="000000"/>
          <w:szCs w:val="32"/>
        </w:rPr>
        <w:t>人、占比</w:t>
      </w:r>
      <w:r>
        <w:rPr>
          <w:rFonts w:ascii="仿宋_GB2312" w:hint="eastAsia"/>
          <w:color w:val="000000"/>
          <w:szCs w:val="32"/>
        </w:rPr>
        <w:t>55%</w:t>
      </w:r>
      <w:r>
        <w:rPr>
          <w:rFonts w:ascii="仿宋_GB2312" w:hint="eastAsia"/>
          <w:color w:val="000000"/>
          <w:szCs w:val="32"/>
        </w:rPr>
        <w:t>。</w:t>
      </w:r>
      <w:r>
        <w:rPr>
          <w:rFonts w:ascii="仿宋_GB2312" w:hint="eastAsia"/>
          <w:b/>
          <w:bCs/>
          <w:color w:val="000000"/>
          <w:szCs w:val="32"/>
        </w:rPr>
        <w:t>二是</w:t>
      </w:r>
      <w:r>
        <w:rPr>
          <w:rFonts w:ascii="仿宋_GB2312" w:hint="eastAsia"/>
          <w:color w:val="000000"/>
          <w:szCs w:val="32"/>
        </w:rPr>
        <w:t>大力培育高素质农民</w:t>
      </w:r>
      <w:r>
        <w:rPr>
          <w:rFonts w:ascii="仿宋_GB2312" w:hint="eastAsia"/>
          <w:color w:val="000000"/>
          <w:szCs w:val="32"/>
        </w:rPr>
        <w:t>，</w:t>
      </w:r>
      <w:r>
        <w:rPr>
          <w:rFonts w:ascii="仿宋_GB2312" w:hint="eastAsia"/>
          <w:color w:val="000000"/>
          <w:szCs w:val="32"/>
        </w:rPr>
        <w:t>加强对新型农业经营主体带头人以及返乡创业的农民工、大学生、退伍军人等进行培育，努力打造一支爱农业、懂技术、善经营的高素质农民队伍，使其成为引领现代农业发展和乡村振兴的生力军。全市累计培育高素质农民</w:t>
      </w:r>
      <w:r>
        <w:rPr>
          <w:rFonts w:ascii="仿宋_GB2312" w:hint="eastAsia"/>
          <w:color w:val="000000"/>
          <w:szCs w:val="32"/>
        </w:rPr>
        <w:t>33998</w:t>
      </w:r>
      <w:r>
        <w:rPr>
          <w:rFonts w:ascii="仿宋_GB2312" w:hint="eastAsia"/>
          <w:color w:val="000000"/>
          <w:szCs w:val="32"/>
        </w:rPr>
        <w:t>人次，其中</w:t>
      </w:r>
      <w:r>
        <w:rPr>
          <w:rFonts w:ascii="仿宋_GB2312" w:hint="eastAsia"/>
          <w:color w:val="000000"/>
          <w:szCs w:val="32"/>
        </w:rPr>
        <w:t>40</w:t>
      </w:r>
      <w:r>
        <w:rPr>
          <w:rFonts w:ascii="仿宋_GB2312" w:hint="eastAsia"/>
          <w:color w:val="000000"/>
          <w:szCs w:val="32"/>
        </w:rPr>
        <w:t>岁及以下人员占比</w:t>
      </w:r>
      <w:r>
        <w:rPr>
          <w:rFonts w:ascii="仿宋_GB2312" w:hint="eastAsia"/>
          <w:color w:val="000000"/>
          <w:szCs w:val="32"/>
        </w:rPr>
        <w:t>24%</w:t>
      </w:r>
      <w:r>
        <w:rPr>
          <w:rFonts w:ascii="仿宋_GB2312" w:hint="eastAsia"/>
          <w:color w:val="000000"/>
          <w:szCs w:val="32"/>
        </w:rPr>
        <w:t>。</w:t>
      </w:r>
      <w:r>
        <w:rPr>
          <w:rFonts w:ascii="仿宋_GB2312" w:hint="eastAsia"/>
          <w:b/>
          <w:bCs/>
          <w:color w:val="000000"/>
          <w:szCs w:val="32"/>
        </w:rPr>
        <w:t>三是</w:t>
      </w:r>
      <w:r>
        <w:rPr>
          <w:rFonts w:ascii="仿宋_GB2312" w:hint="eastAsia"/>
          <w:color w:val="000000"/>
          <w:szCs w:val="32"/>
        </w:rPr>
        <w:t>健全基层农技推广体系</w:t>
      </w:r>
      <w:r>
        <w:rPr>
          <w:rFonts w:ascii="仿宋_GB2312" w:hint="eastAsia"/>
          <w:color w:val="000000"/>
          <w:szCs w:val="32"/>
        </w:rPr>
        <w:t>，</w:t>
      </w:r>
      <w:r>
        <w:rPr>
          <w:rFonts w:ascii="仿宋_GB2312" w:hint="eastAsia"/>
          <w:color w:val="000000"/>
          <w:szCs w:val="32"/>
        </w:rPr>
        <w:t>聘请乡土专家</w:t>
      </w:r>
      <w:r>
        <w:rPr>
          <w:rFonts w:ascii="仿宋_GB2312" w:hint="eastAsia"/>
          <w:color w:val="000000"/>
          <w:szCs w:val="32"/>
        </w:rPr>
        <w:t>235</w:t>
      </w:r>
      <w:r>
        <w:rPr>
          <w:rFonts w:ascii="仿宋_GB2312" w:hint="eastAsia"/>
          <w:color w:val="000000"/>
          <w:szCs w:val="32"/>
        </w:rPr>
        <w:t>人作为特聘农技员和动物防疫专员，充实基层农技推广队伍，缓解乡镇农技</w:t>
      </w:r>
      <w:proofErr w:type="gramStart"/>
      <w:r>
        <w:rPr>
          <w:rFonts w:ascii="仿宋_GB2312" w:hint="eastAsia"/>
          <w:color w:val="000000"/>
          <w:szCs w:val="32"/>
        </w:rPr>
        <w:t>员不足</w:t>
      </w:r>
      <w:proofErr w:type="gramEnd"/>
      <w:r>
        <w:rPr>
          <w:rFonts w:ascii="仿宋_GB2312" w:hint="eastAsia"/>
          <w:color w:val="000000"/>
          <w:szCs w:val="32"/>
        </w:rPr>
        <w:t>的问题；依托农</w:t>
      </w:r>
      <w:proofErr w:type="gramStart"/>
      <w:r>
        <w:rPr>
          <w:rFonts w:ascii="仿宋_GB2312" w:hint="eastAsia"/>
          <w:color w:val="000000"/>
          <w:szCs w:val="32"/>
        </w:rPr>
        <w:t>企探索</w:t>
      </w:r>
      <w:proofErr w:type="gramEnd"/>
      <w:r>
        <w:rPr>
          <w:rFonts w:ascii="仿宋_GB2312" w:hint="eastAsia"/>
          <w:color w:val="000000"/>
          <w:szCs w:val="32"/>
        </w:rPr>
        <w:t>建设区域工作站，吸纳县乡两级农业农村科技</w:t>
      </w:r>
      <w:r>
        <w:rPr>
          <w:rFonts w:ascii="仿宋_GB2312" w:hint="eastAsia"/>
          <w:color w:val="000000"/>
          <w:szCs w:val="32"/>
        </w:rPr>
        <w:lastRenderedPageBreak/>
        <w:t>人员、乡土专家等多元力量参与农技推广工作，促进公益性推广机构与经营性组织融合发展，健全基层农技推广体系，提高综合服务能力。</w:t>
      </w:r>
      <w:r>
        <w:rPr>
          <w:rFonts w:ascii="仿宋_GB2312" w:hint="eastAsia"/>
          <w:color w:val="000000"/>
          <w:szCs w:val="32"/>
        </w:rPr>
        <w:t xml:space="preserve"> </w:t>
      </w:r>
    </w:p>
    <w:p w:rsidR="0087140F" w:rsidRDefault="00591D30">
      <w:pPr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黑体" w:eastAsia="黑体" w:hAnsi="黑体" w:cs="黑体" w:hint="eastAsia"/>
          <w:szCs w:val="32"/>
        </w:rPr>
        <w:t>二、下一步工作</w:t>
      </w:r>
      <w:r>
        <w:rPr>
          <w:rFonts w:ascii="黑体" w:eastAsia="黑体" w:hAnsi="黑体" w:cs="黑体" w:hint="eastAsia"/>
          <w:szCs w:val="32"/>
        </w:rPr>
        <w:t xml:space="preserve"> </w:t>
      </w:r>
    </w:p>
    <w:p w:rsidR="0087140F" w:rsidRDefault="00591D30">
      <w:pPr>
        <w:spacing w:line="600" w:lineRule="exact"/>
        <w:ind w:firstLineChars="200" w:firstLine="640"/>
      </w:pPr>
      <w:r>
        <w:rPr>
          <w:rFonts w:ascii="仿宋_GB2312" w:hAnsi="仿宋_GB2312" w:cs="仿宋_GB2312" w:hint="eastAsia"/>
          <w:szCs w:val="32"/>
        </w:rPr>
        <w:t>我们将认真谋划布局，主要抓好以下重点工作：</w:t>
      </w:r>
    </w:p>
    <w:p w:rsidR="0087140F" w:rsidRDefault="00591D3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紧扣全产业链的服务环节，</w:t>
      </w:r>
      <w:r>
        <w:rPr>
          <w:rFonts w:ascii="仿宋_GB2312" w:hAnsi="仿宋_GB2312" w:cs="仿宋_GB2312" w:hint="eastAsia"/>
          <w:szCs w:val="32"/>
          <w:shd w:val="clear" w:color="auto" w:fill="FFFFFF"/>
        </w:rPr>
        <w:t>延长为农服务链条。</w:t>
      </w:r>
      <w:r>
        <w:rPr>
          <w:rFonts w:ascii="仿宋_GB2312" w:hAnsi="仿宋_GB2312" w:cs="仿宋_GB2312" w:hint="eastAsia"/>
          <w:szCs w:val="32"/>
        </w:rPr>
        <w:t>不断完善“龙头企业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基地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农户”“龙头企业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合作社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农户”等经营模式，与农户之间形成订单保底收购、二次利润返还、服务带动等多种利益联</w:t>
      </w:r>
      <w:r>
        <w:rPr>
          <w:rFonts w:ascii="仿宋_GB2312" w:hAnsi="仿宋_GB2312" w:cs="仿宋_GB2312" w:hint="eastAsia"/>
          <w:szCs w:val="32"/>
        </w:rPr>
        <w:t>结方式。全面推广“龙头企业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合作社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家庭农场或农户”模式，牵头组建农业产业化联合体，实行产加销一体化经营。</w:t>
      </w:r>
    </w:p>
    <w:p w:rsidR="0087140F" w:rsidRDefault="00591D3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int="eastAsia"/>
          <w:color w:val="000000"/>
          <w:szCs w:val="32"/>
        </w:rPr>
        <w:t>坚持以家庭承包经营为基础</w:t>
      </w:r>
      <w:r>
        <w:rPr>
          <w:rFonts w:ascii="仿宋_GB2312" w:hint="eastAsia"/>
          <w:color w:val="000000"/>
          <w:szCs w:val="32"/>
        </w:rPr>
        <w:t>，</w:t>
      </w:r>
      <w:r>
        <w:rPr>
          <w:rFonts w:ascii="仿宋_GB2312" w:hint="eastAsia"/>
          <w:color w:val="000000"/>
          <w:szCs w:val="32"/>
        </w:rPr>
        <w:t>发展农民专业合作社，不得动摇农民家庭经营的基础地位，不得改变农户土地承包经营权。凡是能够为农民提供生产经营服务、对接企业、连接市场、带动产业、促进增收的农民专业合作社，都应大胆地实践和发展。坚持“民办、民管、民受益”。农民专业合作社是自愿和民主的经济组织，任何单位和个人不得违背农民意愿，强迫他们成立或参加农民专业合作社，合作社的成员在组织内部地位平等，实行民主管理。</w:t>
      </w:r>
    </w:p>
    <w:p w:rsidR="0087140F" w:rsidRDefault="00591D3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cs="仿宋_GB2312" w:hint="eastAsia"/>
          <w:szCs w:val="32"/>
        </w:rPr>
        <w:t>围绕普遍</w:t>
      </w:r>
      <w:r>
        <w:rPr>
          <w:rFonts w:ascii="仿宋_GB2312" w:cs="仿宋_GB2312" w:hint="eastAsia"/>
          <w:szCs w:val="32"/>
        </w:rPr>
        <w:t>存在“融资难、用地难、转型难”等突出问题，主动帮助企业沟通协调解决，大力推动政策落地。</w:t>
      </w:r>
      <w:r>
        <w:rPr>
          <w:rFonts w:ascii="仿宋_GB2312" w:hAnsi="仿宋_GB2312" w:cs="仿宋_GB2312" w:hint="eastAsia"/>
          <w:szCs w:val="32"/>
          <w:shd w:val="clear" w:color="auto" w:fill="FFFFFF"/>
        </w:rPr>
        <w:t>加强农业专业人才培养，农业职业经理人培育计划、农村实用人才带头人培训计划以及各类农业生产性服务业服务组</w:t>
      </w:r>
      <w:r>
        <w:rPr>
          <w:rFonts w:ascii="仿宋_GB2312" w:hAnsi="仿宋_GB2312" w:cs="仿宋_GB2312" w:hint="eastAsia"/>
          <w:szCs w:val="32"/>
          <w:shd w:val="clear" w:color="auto" w:fill="FFFFFF"/>
        </w:rPr>
        <w:lastRenderedPageBreak/>
        <w:t>织带头人轮训计划，大力培养爱农业、懂技术、善经营的新型职业农民。</w:t>
      </w:r>
    </w:p>
    <w:p w:rsidR="0087140F" w:rsidRDefault="00591D30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>加强与国内知名电商平台的对接，通过搭平台，架起企业与电商平台对接的桥梁。推进鄱阳湖米业</w:t>
      </w:r>
      <w:proofErr w:type="gramStart"/>
      <w:r>
        <w:rPr>
          <w:rFonts w:ascii="仿宋_GB2312" w:hAnsi="仿宋_GB2312" w:cs="仿宋_GB2312" w:hint="eastAsia"/>
          <w:szCs w:val="32"/>
          <w:shd w:val="clear" w:color="auto" w:fill="FFFFFF"/>
        </w:rPr>
        <w:t>与天猫平台</w:t>
      </w:r>
      <w:proofErr w:type="gramEnd"/>
      <w:r>
        <w:rPr>
          <w:rFonts w:ascii="仿宋_GB2312" w:hAnsi="仿宋_GB2312" w:cs="仿宋_GB2312" w:hint="eastAsia"/>
          <w:szCs w:val="32"/>
          <w:shd w:val="clear" w:color="auto" w:fill="FFFFFF"/>
        </w:rPr>
        <w:t>合作，推动鄱阳湖大米获得“天猫正宗原产地”认证。联合淘宝、京东、</w:t>
      </w:r>
      <w:proofErr w:type="gramStart"/>
      <w:r>
        <w:rPr>
          <w:rFonts w:ascii="仿宋_GB2312" w:hAnsi="仿宋_GB2312" w:cs="仿宋_GB2312" w:hint="eastAsia"/>
          <w:szCs w:val="32"/>
          <w:shd w:val="clear" w:color="auto" w:fill="FFFFFF"/>
        </w:rPr>
        <w:t>抖音平台</w:t>
      </w:r>
      <w:proofErr w:type="gramEnd"/>
      <w:r>
        <w:rPr>
          <w:rFonts w:ascii="仿宋_GB2312" w:hAnsi="仿宋_GB2312" w:cs="仿宋_GB2312" w:hint="eastAsia"/>
          <w:szCs w:val="32"/>
          <w:shd w:val="clear" w:color="auto" w:fill="FFFFFF"/>
        </w:rPr>
        <w:t>举办全市工业（</w:t>
      </w:r>
      <w:proofErr w:type="gramStart"/>
      <w:r>
        <w:rPr>
          <w:rFonts w:ascii="仿宋_GB2312" w:hAnsi="仿宋_GB2312" w:cs="仿宋_GB2312" w:hint="eastAsia"/>
          <w:szCs w:val="32"/>
          <w:shd w:val="clear" w:color="auto" w:fill="FFFFFF"/>
        </w:rPr>
        <w:t>含食品</w:t>
      </w:r>
      <w:proofErr w:type="gramEnd"/>
      <w:r>
        <w:rPr>
          <w:rFonts w:ascii="仿宋_GB2312" w:hAnsi="仿宋_GB2312" w:cs="仿宋_GB2312" w:hint="eastAsia"/>
          <w:szCs w:val="32"/>
          <w:shd w:val="clear" w:color="auto" w:fill="FFFFFF"/>
        </w:rPr>
        <w:t>加工企业）电</w:t>
      </w:r>
      <w:proofErr w:type="gramStart"/>
      <w:r>
        <w:rPr>
          <w:rFonts w:ascii="仿宋_GB2312" w:hAnsi="仿宋_GB2312" w:cs="仿宋_GB2312" w:hint="eastAsia"/>
          <w:szCs w:val="32"/>
          <w:shd w:val="clear" w:color="auto" w:fill="FFFFFF"/>
        </w:rPr>
        <w:t>商专题培班</w:t>
      </w:r>
      <w:proofErr w:type="gramEnd"/>
      <w:r>
        <w:rPr>
          <w:rFonts w:ascii="仿宋_GB2312" w:hAnsi="仿宋_GB2312" w:cs="仿宋_GB2312" w:hint="eastAsia"/>
          <w:szCs w:val="32"/>
          <w:shd w:val="clear" w:color="auto" w:fill="FFFFFF"/>
        </w:rPr>
        <w:t>，帮助市内农业、工业、商贸企业对接电商平台开拓新</w:t>
      </w:r>
      <w:r>
        <w:rPr>
          <w:rFonts w:ascii="仿宋_GB2312" w:hAnsi="仿宋_GB2312" w:cs="仿宋_GB2312" w:hint="eastAsia"/>
          <w:szCs w:val="32"/>
          <w:shd w:val="clear" w:color="auto" w:fill="FFFFFF"/>
        </w:rPr>
        <w:t>兴市场。</w:t>
      </w:r>
    </w:p>
    <w:p w:rsidR="0087140F" w:rsidRDefault="00591D30">
      <w:pPr>
        <w:pStyle w:val="2"/>
        <w:spacing w:line="600" w:lineRule="exact"/>
        <w:ind w:leftChars="0" w:left="0" w:firstLine="640"/>
        <w:rPr>
          <w:rFonts w:ascii="仿宋_GB2312" w:hAnsi="仿宋_GB2312" w:cs="仿宋_GB2312"/>
          <w:szCs w:val="32"/>
        </w:rPr>
      </w:pPr>
      <w:r>
        <w:rPr>
          <w:rFonts w:ascii="仿宋" w:eastAsia="仿宋" w:hAnsi="仿宋" w:cs="宋体" w:hint="eastAsia"/>
          <w:szCs w:val="32"/>
        </w:rPr>
        <w:t>感谢您对农业农村工作的关心和支持，恳请今后继续关心支持“三农”工作，并多提宝贵意见和建议。</w:t>
      </w:r>
    </w:p>
    <w:p w:rsidR="0087140F" w:rsidRDefault="00591D30">
      <w:pPr>
        <w:spacing w:line="600" w:lineRule="exact"/>
        <w:ind w:firstLineChars="1400" w:firstLine="4480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上饶</w:t>
      </w:r>
      <w:r>
        <w:rPr>
          <w:rFonts w:ascii="仿宋_GB2312" w:hAnsi="仿宋_GB2312" w:cs="仿宋_GB2312" w:hint="eastAsia"/>
          <w:szCs w:val="32"/>
        </w:rPr>
        <w:t>市农业农村局</w:t>
      </w:r>
    </w:p>
    <w:p w:rsidR="0087140F" w:rsidRDefault="00591D30">
      <w:pPr>
        <w:spacing w:line="600" w:lineRule="exact"/>
        <w:jc w:val="right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</w:t>
      </w:r>
      <w:bookmarkStart w:id="0" w:name="_GoBack"/>
      <w:bookmarkEnd w:id="0"/>
      <w:r>
        <w:rPr>
          <w:rFonts w:ascii="仿宋_GB2312" w:hAnsi="仿宋_GB2312" w:cs="仿宋_GB2312" w:hint="eastAsia"/>
          <w:szCs w:val="32"/>
        </w:rPr>
        <w:t xml:space="preserve">                         2022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18</w:t>
      </w:r>
      <w:r>
        <w:rPr>
          <w:rFonts w:ascii="仿宋_GB2312" w:hAnsi="仿宋_GB2312" w:cs="仿宋_GB2312" w:hint="eastAsia"/>
          <w:szCs w:val="32"/>
        </w:rPr>
        <w:t>日</w:t>
      </w:r>
    </w:p>
    <w:p w:rsidR="00403E82" w:rsidRDefault="00403E82" w:rsidP="00403E82">
      <w:pPr>
        <w:pStyle w:val="BodyTextFirstIndent21"/>
        <w:ind w:left="640"/>
        <w:rPr>
          <w:rFonts w:hint="eastAsia"/>
        </w:rPr>
      </w:pPr>
    </w:p>
    <w:p w:rsidR="00403E82" w:rsidRPr="00392450" w:rsidRDefault="00403E82" w:rsidP="00403E82">
      <w:pPr>
        <w:rPr>
          <w:rFonts w:ascii="仿宋" w:eastAsia="仿宋" w:hAnsi="仿宋"/>
          <w:szCs w:val="32"/>
        </w:rPr>
      </w:pPr>
      <w:r w:rsidRPr="00392450">
        <w:rPr>
          <w:rFonts w:ascii="仿宋" w:eastAsia="仿宋" w:hAnsi="仿宋" w:hint="eastAsia"/>
          <w:szCs w:val="32"/>
        </w:rPr>
        <w:t>抄送：市政府督查室</w:t>
      </w:r>
    </w:p>
    <w:p w:rsidR="00403E82" w:rsidRPr="00392450" w:rsidRDefault="00403E82" w:rsidP="00403E82">
      <w:pPr>
        <w:rPr>
          <w:rFonts w:ascii="仿宋" w:eastAsia="仿宋" w:hAnsi="仿宋"/>
          <w:szCs w:val="32"/>
        </w:rPr>
      </w:pPr>
      <w:r w:rsidRPr="00392450">
        <w:rPr>
          <w:rFonts w:ascii="仿宋" w:eastAsia="仿宋" w:hAnsi="仿宋" w:hint="eastAsia"/>
          <w:szCs w:val="32"/>
        </w:rPr>
        <w:t>联系人（姓名、职务）：</w:t>
      </w:r>
      <w:r w:rsidRPr="00403E82">
        <w:rPr>
          <w:rFonts w:ascii="仿宋" w:eastAsia="仿宋" w:hAnsi="仿宋" w:hint="eastAsia"/>
          <w:szCs w:val="32"/>
        </w:rPr>
        <w:t>余志高</w:t>
      </w:r>
      <w:r>
        <w:rPr>
          <w:rFonts w:ascii="仿宋" w:eastAsia="仿宋" w:hAnsi="仿宋" w:hint="eastAsia"/>
          <w:szCs w:val="32"/>
        </w:rPr>
        <w:t xml:space="preserve">  </w:t>
      </w:r>
      <w:r w:rsidRPr="00403E82">
        <w:rPr>
          <w:rFonts w:ascii="仿宋" w:eastAsia="仿宋" w:hAnsi="仿宋" w:hint="eastAsia"/>
          <w:szCs w:val="32"/>
        </w:rPr>
        <w:t xml:space="preserve">乡村产业发展与市场涉外科  </w:t>
      </w:r>
    </w:p>
    <w:p w:rsidR="00403E82" w:rsidRPr="00392450" w:rsidRDefault="00403E82" w:rsidP="00403E82">
      <w:pPr>
        <w:rPr>
          <w:rFonts w:ascii="仿宋" w:eastAsia="仿宋" w:hAnsi="仿宋"/>
          <w:szCs w:val="32"/>
        </w:rPr>
      </w:pPr>
      <w:r w:rsidRPr="00392450">
        <w:rPr>
          <w:rFonts w:ascii="仿宋" w:eastAsia="仿宋" w:hAnsi="仿宋" w:hint="eastAsia"/>
          <w:szCs w:val="32"/>
        </w:rPr>
        <w:t>联系电话：</w:t>
      </w:r>
      <w:r w:rsidRPr="00403E82">
        <w:rPr>
          <w:rFonts w:ascii="仿宋" w:eastAsia="仿宋" w:hAnsi="仿宋" w:hint="eastAsia"/>
          <w:szCs w:val="32"/>
        </w:rPr>
        <w:t>15707075905</w:t>
      </w:r>
    </w:p>
    <w:p w:rsidR="00403E82" w:rsidRPr="00403E82" w:rsidRDefault="00403E82" w:rsidP="00403E82">
      <w:pPr>
        <w:pStyle w:val="BodyTextFirstIndent21"/>
        <w:ind w:left="640"/>
      </w:pPr>
    </w:p>
    <w:sectPr w:rsidR="00403E82" w:rsidRPr="00403E82" w:rsidSect="008714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D30" w:rsidRDefault="00591D30" w:rsidP="00403E82">
      <w:r>
        <w:separator/>
      </w:r>
    </w:p>
  </w:endnote>
  <w:endnote w:type="continuationSeparator" w:id="0">
    <w:p w:rsidR="00591D30" w:rsidRDefault="00591D30" w:rsidP="00403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D30" w:rsidRDefault="00591D30" w:rsidP="00403E82">
      <w:r>
        <w:separator/>
      </w:r>
    </w:p>
  </w:footnote>
  <w:footnote w:type="continuationSeparator" w:id="0">
    <w:p w:rsidR="00591D30" w:rsidRDefault="00591D30" w:rsidP="00403E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ADDE48"/>
    <w:multiLevelType w:val="singleLevel"/>
    <w:tmpl w:val="F6ADDE4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12C0C"/>
    <w:rsid w:val="FCFBF02F"/>
    <w:rsid w:val="FCFFB4E4"/>
    <w:rsid w:val="FDFB7EE0"/>
    <w:rsid w:val="FE3F2E93"/>
    <w:rsid w:val="FE769645"/>
    <w:rsid w:val="FEEF1F14"/>
    <w:rsid w:val="FEF33CB3"/>
    <w:rsid w:val="FEF667EA"/>
    <w:rsid w:val="FF2F0AB0"/>
    <w:rsid w:val="FF3B18C9"/>
    <w:rsid w:val="FF4E16ED"/>
    <w:rsid w:val="FF4E2347"/>
    <w:rsid w:val="FF77DCF8"/>
    <w:rsid w:val="FF7E9B29"/>
    <w:rsid w:val="FF7EECF0"/>
    <w:rsid w:val="FFADA894"/>
    <w:rsid w:val="FFAE3BBC"/>
    <w:rsid w:val="FFB3A67B"/>
    <w:rsid w:val="FFD9A7D4"/>
    <w:rsid w:val="FFDB8D06"/>
    <w:rsid w:val="FFFD314F"/>
    <w:rsid w:val="FFFF9407"/>
    <w:rsid w:val="00011BD3"/>
    <w:rsid w:val="00016F7E"/>
    <w:rsid w:val="000525E0"/>
    <w:rsid w:val="001C6411"/>
    <w:rsid w:val="003026E7"/>
    <w:rsid w:val="003602FA"/>
    <w:rsid w:val="00393F66"/>
    <w:rsid w:val="003A580E"/>
    <w:rsid w:val="00403E82"/>
    <w:rsid w:val="004E389F"/>
    <w:rsid w:val="004F4C6F"/>
    <w:rsid w:val="0056157F"/>
    <w:rsid w:val="00591D30"/>
    <w:rsid w:val="00712C0C"/>
    <w:rsid w:val="00796B11"/>
    <w:rsid w:val="0087140F"/>
    <w:rsid w:val="008A0BDC"/>
    <w:rsid w:val="009D4289"/>
    <w:rsid w:val="009E6404"/>
    <w:rsid w:val="00A53B8E"/>
    <w:rsid w:val="00A84DBA"/>
    <w:rsid w:val="00B01A05"/>
    <w:rsid w:val="00B15089"/>
    <w:rsid w:val="00C62CC9"/>
    <w:rsid w:val="00C738D1"/>
    <w:rsid w:val="00D0060F"/>
    <w:rsid w:val="00D8349C"/>
    <w:rsid w:val="00DA412E"/>
    <w:rsid w:val="00E21159"/>
    <w:rsid w:val="00F22AF3"/>
    <w:rsid w:val="00F966D0"/>
    <w:rsid w:val="00FA51D2"/>
    <w:rsid w:val="17FF398B"/>
    <w:rsid w:val="1BC3DE04"/>
    <w:rsid w:val="26F12993"/>
    <w:rsid w:val="2EFF11DD"/>
    <w:rsid w:val="2F2D57B7"/>
    <w:rsid w:val="2FBBCD46"/>
    <w:rsid w:val="36DBE88A"/>
    <w:rsid w:val="37FE93C2"/>
    <w:rsid w:val="3ADE8042"/>
    <w:rsid w:val="3B7103DD"/>
    <w:rsid w:val="3BF9B7B4"/>
    <w:rsid w:val="3BFF72F5"/>
    <w:rsid w:val="3D19B7B3"/>
    <w:rsid w:val="3E5E1FB1"/>
    <w:rsid w:val="3EAA3888"/>
    <w:rsid w:val="3EEF5EFF"/>
    <w:rsid w:val="3EFFBF41"/>
    <w:rsid w:val="3F3FB7DB"/>
    <w:rsid w:val="3F9FB199"/>
    <w:rsid w:val="3FBB2FC0"/>
    <w:rsid w:val="3FCF023F"/>
    <w:rsid w:val="3FCFC7E6"/>
    <w:rsid w:val="47DE4226"/>
    <w:rsid w:val="49FF7C21"/>
    <w:rsid w:val="4AEBC12B"/>
    <w:rsid w:val="4B6F15DA"/>
    <w:rsid w:val="4BAB39A1"/>
    <w:rsid w:val="4EC7822B"/>
    <w:rsid w:val="4FAFFB7B"/>
    <w:rsid w:val="4FF703CC"/>
    <w:rsid w:val="53EAE93B"/>
    <w:rsid w:val="54BA6391"/>
    <w:rsid w:val="54F75286"/>
    <w:rsid w:val="57F67BC6"/>
    <w:rsid w:val="57FF3FB2"/>
    <w:rsid w:val="59D7A167"/>
    <w:rsid w:val="5BFF3C64"/>
    <w:rsid w:val="5D59FCF4"/>
    <w:rsid w:val="5DED5C4D"/>
    <w:rsid w:val="5DEE0A82"/>
    <w:rsid w:val="5DF6414E"/>
    <w:rsid w:val="5F3FA8F2"/>
    <w:rsid w:val="5FFB993B"/>
    <w:rsid w:val="5FFD6EBF"/>
    <w:rsid w:val="67DF6BBC"/>
    <w:rsid w:val="697E8224"/>
    <w:rsid w:val="6B8FF1A6"/>
    <w:rsid w:val="6CF556D1"/>
    <w:rsid w:val="6DDD5C61"/>
    <w:rsid w:val="6F7A7E20"/>
    <w:rsid w:val="6F7F6061"/>
    <w:rsid w:val="6FAF35F8"/>
    <w:rsid w:val="6FBF592E"/>
    <w:rsid w:val="6FCD636C"/>
    <w:rsid w:val="75338D1F"/>
    <w:rsid w:val="757E499C"/>
    <w:rsid w:val="76FFE4B9"/>
    <w:rsid w:val="7753E609"/>
    <w:rsid w:val="77D64BD1"/>
    <w:rsid w:val="77EF01CC"/>
    <w:rsid w:val="78FE738E"/>
    <w:rsid w:val="797B021D"/>
    <w:rsid w:val="79D3B8A5"/>
    <w:rsid w:val="79EF931E"/>
    <w:rsid w:val="7AE7CD4C"/>
    <w:rsid w:val="7B726FF9"/>
    <w:rsid w:val="7BBEC543"/>
    <w:rsid w:val="7BCF710C"/>
    <w:rsid w:val="7BFC56F8"/>
    <w:rsid w:val="7C9FEF59"/>
    <w:rsid w:val="7CCF902D"/>
    <w:rsid w:val="7CD7ECCF"/>
    <w:rsid w:val="7DAC07DB"/>
    <w:rsid w:val="7DB7460A"/>
    <w:rsid w:val="7E5D84D9"/>
    <w:rsid w:val="7E7FFC05"/>
    <w:rsid w:val="7EB7E8B9"/>
    <w:rsid w:val="7EC72EF0"/>
    <w:rsid w:val="7EDB5B69"/>
    <w:rsid w:val="7EEBBD5B"/>
    <w:rsid w:val="7EF75671"/>
    <w:rsid w:val="7EF78AF0"/>
    <w:rsid w:val="7EFF2582"/>
    <w:rsid w:val="7F2F80FD"/>
    <w:rsid w:val="7F3E564E"/>
    <w:rsid w:val="7F3FD8E3"/>
    <w:rsid w:val="7F6F612C"/>
    <w:rsid w:val="7F7D0FA5"/>
    <w:rsid w:val="7F7F1362"/>
    <w:rsid w:val="7FBF3A19"/>
    <w:rsid w:val="7FCFC5E8"/>
    <w:rsid w:val="7FDC5FFC"/>
    <w:rsid w:val="7FDDDE9A"/>
    <w:rsid w:val="7FE9E306"/>
    <w:rsid w:val="7FEDB89B"/>
    <w:rsid w:val="7FEFAC56"/>
    <w:rsid w:val="7FEFFB05"/>
    <w:rsid w:val="7FF73DCA"/>
    <w:rsid w:val="7FF78A48"/>
    <w:rsid w:val="7FF967C4"/>
    <w:rsid w:val="7FF9B6CC"/>
    <w:rsid w:val="7FFEA199"/>
    <w:rsid w:val="837B58AD"/>
    <w:rsid w:val="96F27D45"/>
    <w:rsid w:val="976C6854"/>
    <w:rsid w:val="97FAFB85"/>
    <w:rsid w:val="9BAF4A11"/>
    <w:rsid w:val="9DEBB35C"/>
    <w:rsid w:val="A5FD8DDD"/>
    <w:rsid w:val="A9EFF79C"/>
    <w:rsid w:val="ADCC5232"/>
    <w:rsid w:val="AEF7AE25"/>
    <w:rsid w:val="AF14C936"/>
    <w:rsid w:val="B6DF275D"/>
    <w:rsid w:val="BAEFE7AA"/>
    <w:rsid w:val="BB4FD506"/>
    <w:rsid w:val="BB7C354C"/>
    <w:rsid w:val="BF6F3C2D"/>
    <w:rsid w:val="C4FFFFB2"/>
    <w:rsid w:val="CF1D3ABC"/>
    <w:rsid w:val="CFBABAAE"/>
    <w:rsid w:val="D25D1A6D"/>
    <w:rsid w:val="D73D81A6"/>
    <w:rsid w:val="D75F661F"/>
    <w:rsid w:val="D87F9BAE"/>
    <w:rsid w:val="DBBDD24A"/>
    <w:rsid w:val="DBFB299B"/>
    <w:rsid w:val="DD5B4835"/>
    <w:rsid w:val="DDEDC4F4"/>
    <w:rsid w:val="DF6B1257"/>
    <w:rsid w:val="DF9E6A42"/>
    <w:rsid w:val="DFE5FAED"/>
    <w:rsid w:val="E65D90B1"/>
    <w:rsid w:val="E9EF6DF6"/>
    <w:rsid w:val="E9F3AADF"/>
    <w:rsid w:val="EAFE9C7E"/>
    <w:rsid w:val="EB3D7A2F"/>
    <w:rsid w:val="EBFEE993"/>
    <w:rsid w:val="ED3F2F00"/>
    <w:rsid w:val="ED7FAB1B"/>
    <w:rsid w:val="EDB5552A"/>
    <w:rsid w:val="EDDD56BD"/>
    <w:rsid w:val="EDEBFFE8"/>
    <w:rsid w:val="EE7B8131"/>
    <w:rsid w:val="EEAE9D7A"/>
    <w:rsid w:val="EFAF1B7F"/>
    <w:rsid w:val="EFC510AD"/>
    <w:rsid w:val="EFD39AC1"/>
    <w:rsid w:val="EFEB9483"/>
    <w:rsid w:val="EFF545D2"/>
    <w:rsid w:val="F2FB8278"/>
    <w:rsid w:val="F3CFFF24"/>
    <w:rsid w:val="F47BF2C8"/>
    <w:rsid w:val="F5DE4B90"/>
    <w:rsid w:val="F6E7D381"/>
    <w:rsid w:val="F6F78E83"/>
    <w:rsid w:val="F6FDBB32"/>
    <w:rsid w:val="F756E5AA"/>
    <w:rsid w:val="F7B995A5"/>
    <w:rsid w:val="F7BE8EB6"/>
    <w:rsid w:val="F7DD6FBE"/>
    <w:rsid w:val="F7E09283"/>
    <w:rsid w:val="F7F09DCF"/>
    <w:rsid w:val="F7F543FF"/>
    <w:rsid w:val="F9FB2DF3"/>
    <w:rsid w:val="FABFBFAE"/>
    <w:rsid w:val="FB71367E"/>
    <w:rsid w:val="FBA68681"/>
    <w:rsid w:val="FBBB8585"/>
    <w:rsid w:val="FBEBC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BodyTextFirstIndent21"/>
    <w:qFormat/>
    <w:rsid w:val="0087140F"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FirstIndent21">
    <w:name w:val="Body Text First Indent 21"/>
    <w:basedOn w:val="a"/>
    <w:qFormat/>
    <w:rsid w:val="0087140F"/>
    <w:pPr>
      <w:ind w:leftChars="200" w:left="420" w:firstLine="210"/>
    </w:pPr>
  </w:style>
  <w:style w:type="paragraph" w:styleId="a3">
    <w:name w:val="Body Text"/>
    <w:basedOn w:val="a"/>
    <w:qFormat/>
    <w:rsid w:val="0087140F"/>
    <w:pPr>
      <w:spacing w:after="120"/>
    </w:pPr>
    <w:rPr>
      <w:rFonts w:eastAsia="宋体"/>
    </w:rPr>
  </w:style>
  <w:style w:type="paragraph" w:styleId="a4">
    <w:name w:val="Body Text Indent"/>
    <w:basedOn w:val="a"/>
    <w:qFormat/>
    <w:rsid w:val="0087140F"/>
    <w:pPr>
      <w:spacing w:after="120"/>
      <w:ind w:leftChars="200" w:left="420"/>
    </w:pPr>
  </w:style>
  <w:style w:type="paragraph" w:styleId="a5">
    <w:name w:val="Plain Text"/>
    <w:basedOn w:val="a"/>
    <w:link w:val="Char"/>
    <w:qFormat/>
    <w:rsid w:val="0087140F"/>
    <w:rPr>
      <w:rFonts w:ascii="仿宋_GB2312" w:hAnsi="Courier New" w:cs="Courier New"/>
      <w:szCs w:val="21"/>
    </w:rPr>
  </w:style>
  <w:style w:type="paragraph" w:styleId="a6">
    <w:name w:val="footer"/>
    <w:basedOn w:val="a"/>
    <w:link w:val="Char0"/>
    <w:uiPriority w:val="99"/>
    <w:semiHidden/>
    <w:unhideWhenUsed/>
    <w:qFormat/>
    <w:rsid w:val="00871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semiHidden/>
    <w:unhideWhenUsed/>
    <w:qFormat/>
    <w:rsid w:val="00871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First Indent"/>
    <w:basedOn w:val="a3"/>
    <w:qFormat/>
    <w:rsid w:val="0087140F"/>
    <w:pPr>
      <w:ind w:firstLineChars="100" w:firstLine="420"/>
    </w:pPr>
    <w:rPr>
      <w:rFonts w:ascii="宋体" w:hAnsi="宋体"/>
      <w:sz w:val="28"/>
      <w:szCs w:val="24"/>
    </w:rPr>
  </w:style>
  <w:style w:type="paragraph" w:styleId="2">
    <w:name w:val="Body Text First Indent 2"/>
    <w:basedOn w:val="a4"/>
    <w:qFormat/>
    <w:rsid w:val="0087140F"/>
    <w:pPr>
      <w:ind w:firstLineChars="200" w:firstLine="420"/>
    </w:pPr>
  </w:style>
  <w:style w:type="character" w:customStyle="1" w:styleId="Char">
    <w:name w:val="纯文本 Char"/>
    <w:basedOn w:val="a0"/>
    <w:link w:val="a5"/>
    <w:qFormat/>
    <w:rsid w:val="0087140F"/>
    <w:rPr>
      <w:rFonts w:ascii="仿宋_GB2312" w:eastAsia="仿宋_GB2312" w:hAnsi="Courier New" w:cs="Courier New"/>
      <w:sz w:val="32"/>
      <w:szCs w:val="21"/>
    </w:rPr>
  </w:style>
  <w:style w:type="character" w:customStyle="1" w:styleId="Char1">
    <w:name w:val="页眉 Char"/>
    <w:basedOn w:val="a0"/>
    <w:link w:val="a7"/>
    <w:uiPriority w:val="99"/>
    <w:semiHidden/>
    <w:qFormat/>
    <w:rsid w:val="0087140F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qFormat/>
    <w:rsid w:val="0087140F"/>
    <w:rPr>
      <w:rFonts w:ascii="Times New Roman" w:eastAsia="仿宋_GB2312" w:hAnsi="Times New Roman" w:cs="Times New Roman"/>
      <w:sz w:val="18"/>
      <w:szCs w:val="18"/>
    </w:rPr>
  </w:style>
  <w:style w:type="character" w:customStyle="1" w:styleId="NormalCharacter">
    <w:name w:val="NormalCharacter"/>
    <w:semiHidden/>
    <w:qFormat/>
    <w:rsid w:val="0087140F"/>
    <w:rPr>
      <w:rFonts w:eastAsia="宋体"/>
      <w:kern w:val="2"/>
      <w:sz w:val="21"/>
      <w:szCs w:val="24"/>
      <w:lang w:val="en-US" w:eastAsia="zh-CN" w:bidi="ar-SA"/>
    </w:rPr>
  </w:style>
  <w:style w:type="paragraph" w:styleId="a9">
    <w:name w:val="Date"/>
    <w:basedOn w:val="a"/>
    <w:next w:val="a"/>
    <w:link w:val="Char2"/>
    <w:uiPriority w:val="99"/>
    <w:semiHidden/>
    <w:unhideWhenUsed/>
    <w:rsid w:val="00403E82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403E82"/>
    <w:rPr>
      <w:rFonts w:eastAsia="仿宋_GB2312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371</Words>
  <Characters>2117</Characters>
  <Application>Microsoft Office Word</Application>
  <DocSecurity>0</DocSecurity>
  <Lines>17</Lines>
  <Paragraphs>4</Paragraphs>
  <ScaleCrop>false</ScaleCrop>
  <Company>Microsoft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zfr</dc:creator>
  <cp:lastModifiedBy>上饶市农业局收发员</cp:lastModifiedBy>
  <cp:revision>15</cp:revision>
  <dcterms:created xsi:type="dcterms:W3CDTF">2022-06-24T00:46:00Z</dcterms:created>
  <dcterms:modified xsi:type="dcterms:W3CDTF">2022-09-26T09:08:00Z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