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654" w:rsidRPr="00392450" w:rsidRDefault="00397654" w:rsidP="00397654">
      <w:pPr>
        <w:jc w:val="center"/>
        <w:rPr>
          <w:rFonts w:ascii="华文中宋" w:eastAsia="华文中宋" w:hAnsi="华文中宋"/>
          <w:color w:val="FF0000"/>
          <w:spacing w:val="20"/>
          <w:w w:val="86"/>
          <w:sz w:val="84"/>
          <w:szCs w:val="84"/>
        </w:rPr>
      </w:pPr>
      <w:r w:rsidRPr="00392450">
        <w:rPr>
          <w:rFonts w:ascii="华文中宋" w:eastAsia="华文中宋" w:hAnsi="华文中宋" w:hint="eastAsia"/>
          <w:color w:val="FF0000"/>
          <w:spacing w:val="20"/>
          <w:w w:val="86"/>
          <w:sz w:val="84"/>
          <w:szCs w:val="84"/>
        </w:rPr>
        <w:t>上饶市农业农村局</w:t>
      </w:r>
      <w:r w:rsidRPr="00392450">
        <w:rPr>
          <w:rFonts w:ascii="华文中宋" w:eastAsia="华文中宋" w:hAnsi="华文中宋"/>
          <w:color w:val="FF0000"/>
          <w:spacing w:val="20"/>
          <w:w w:val="86"/>
          <w:sz w:val="84"/>
          <w:szCs w:val="84"/>
        </w:rPr>
        <w:t xml:space="preserve"> (</w:t>
      </w:r>
      <w:r w:rsidRPr="00392450">
        <w:rPr>
          <w:rFonts w:ascii="华文中宋" w:eastAsia="华文中宋" w:hAnsi="华文中宋" w:hint="eastAsia"/>
          <w:color w:val="FF0000"/>
          <w:sz w:val="84"/>
          <w:szCs w:val="84"/>
        </w:rPr>
        <w:t>函</w:t>
      </w:r>
      <w:r w:rsidRPr="00392450">
        <w:rPr>
          <w:rFonts w:ascii="华文中宋" w:eastAsia="华文中宋" w:hAnsi="华文中宋"/>
          <w:color w:val="FF0000"/>
          <w:spacing w:val="20"/>
          <w:w w:val="86"/>
          <w:sz w:val="84"/>
          <w:szCs w:val="84"/>
        </w:rPr>
        <w:t>)</w:t>
      </w:r>
    </w:p>
    <w:p w:rsidR="00397654" w:rsidRPr="00392450" w:rsidRDefault="00397654" w:rsidP="00397654">
      <w:pPr>
        <w:spacing w:line="400" w:lineRule="exact"/>
        <w:ind w:rightChars="50" w:right="105"/>
        <w:jc w:val="right"/>
        <w:rPr>
          <w:rFonts w:ascii="Times New Roman" w:hAnsi="Times New Roman"/>
          <w:szCs w:val="32"/>
        </w:rPr>
      </w:pPr>
    </w:p>
    <w:p w:rsidR="00397654" w:rsidRPr="00392450" w:rsidRDefault="00397654" w:rsidP="00397654">
      <w:pPr>
        <w:spacing w:line="400" w:lineRule="exact"/>
        <w:ind w:rightChars="50" w:right="105"/>
        <w:jc w:val="right"/>
        <w:rPr>
          <w:rFonts w:ascii="Times New Roman" w:hAnsi="Times New Roman"/>
          <w:sz w:val="32"/>
          <w:szCs w:val="32"/>
        </w:rPr>
      </w:pPr>
      <w:proofErr w:type="gramStart"/>
      <w:r>
        <w:rPr>
          <w:rFonts w:ascii="Times New Roman" w:hAnsi="Times New Roman" w:hint="eastAsia"/>
          <w:sz w:val="32"/>
          <w:szCs w:val="32"/>
        </w:rPr>
        <w:t>饶农</w:t>
      </w:r>
      <w:r w:rsidRPr="00392450">
        <w:rPr>
          <w:rFonts w:ascii="Times New Roman" w:hAnsi="Times New Roman" w:hint="eastAsia"/>
          <w:sz w:val="32"/>
          <w:szCs w:val="32"/>
        </w:rPr>
        <w:t>提</w:t>
      </w:r>
      <w:proofErr w:type="gramEnd"/>
      <w:r w:rsidRPr="00392450">
        <w:rPr>
          <w:rFonts w:ascii="Times New Roman" w:hAnsi="Times New Roman" w:hint="eastAsia"/>
          <w:sz w:val="32"/>
          <w:szCs w:val="32"/>
        </w:rPr>
        <w:t>字〔</w:t>
      </w:r>
      <w:r w:rsidRPr="00392450">
        <w:rPr>
          <w:rFonts w:ascii="Times New Roman" w:hAnsi="Times New Roman"/>
          <w:sz w:val="32"/>
          <w:szCs w:val="32"/>
        </w:rPr>
        <w:t>202</w:t>
      </w:r>
      <w:r w:rsidRPr="00392450">
        <w:rPr>
          <w:rFonts w:ascii="Times New Roman" w:hAnsi="Times New Roman" w:hint="eastAsia"/>
          <w:sz w:val="32"/>
          <w:szCs w:val="32"/>
        </w:rPr>
        <w:t>2</w:t>
      </w:r>
      <w:r w:rsidRPr="00392450">
        <w:rPr>
          <w:rFonts w:ascii="Times New Roman" w:hAnsi="Times New Roman" w:hint="eastAsia"/>
          <w:sz w:val="32"/>
          <w:szCs w:val="32"/>
        </w:rPr>
        <w:t>〕</w:t>
      </w:r>
      <w:r>
        <w:rPr>
          <w:rFonts w:ascii="Times New Roman" w:hAnsi="Times New Roman" w:hint="eastAsia"/>
          <w:sz w:val="32"/>
          <w:szCs w:val="32"/>
        </w:rPr>
        <w:t>18</w:t>
      </w:r>
      <w:r w:rsidRPr="00392450">
        <w:rPr>
          <w:rFonts w:ascii="Times New Roman" w:hAnsi="Times New Roman" w:hint="eastAsia"/>
          <w:sz w:val="32"/>
          <w:szCs w:val="32"/>
        </w:rPr>
        <w:t>号</w:t>
      </w:r>
      <w:r w:rsidRPr="00392450">
        <w:rPr>
          <w:rFonts w:ascii="Times New Roman" w:hAnsi="Times New Roman" w:hint="eastAsia"/>
          <w:sz w:val="32"/>
          <w:szCs w:val="32"/>
        </w:rPr>
        <w:t xml:space="preserve">                                                   </w:t>
      </w:r>
      <w:r w:rsidRPr="00392450">
        <w:rPr>
          <w:rFonts w:ascii="Times New Roman" w:hAnsi="Times New Roman" w:hint="eastAsia"/>
          <w:sz w:val="32"/>
          <w:szCs w:val="32"/>
        </w:rPr>
        <w:t>分类：</w:t>
      </w:r>
      <w:r w:rsidRPr="00392450">
        <w:rPr>
          <w:rFonts w:ascii="Times New Roman" w:hAnsi="Times New Roman"/>
          <w:sz w:val="32"/>
          <w:szCs w:val="32"/>
        </w:rPr>
        <w:t xml:space="preserve"> </w:t>
      </w:r>
      <w:r>
        <w:rPr>
          <w:rFonts w:ascii="Times New Roman" w:hAnsi="Times New Roman" w:hint="eastAsia"/>
          <w:sz w:val="32"/>
          <w:szCs w:val="32"/>
        </w:rPr>
        <w:t>A</w:t>
      </w:r>
      <w:r w:rsidRPr="00392450">
        <w:rPr>
          <w:rFonts w:ascii="Times New Roman" w:hAnsi="Times New Roman" w:hint="eastAsia"/>
          <w:color w:val="FFFFFF"/>
          <w:sz w:val="32"/>
          <w:szCs w:val="32"/>
        </w:rPr>
        <w:t>（</w:t>
      </w:r>
    </w:p>
    <w:p w:rsidR="00397654" w:rsidRDefault="00397654" w:rsidP="00397654">
      <w:pPr>
        <w:spacing w:line="640" w:lineRule="exact"/>
        <w:jc w:val="center"/>
        <w:rPr>
          <w:rFonts w:ascii="Times New Roman" w:eastAsia="方正小标宋_GBK" w:hAnsi="Times New Roman"/>
          <w:sz w:val="44"/>
          <w:szCs w:val="44"/>
        </w:rPr>
      </w:pPr>
      <w:r>
        <w:rPr>
          <w:rFonts w:ascii="Times New Roman" w:eastAsia="方正小标宋_GBK" w:hAnsi="Times New Roman" w:hint="eastAsia"/>
          <w:sz w:val="44"/>
          <w:szCs w:val="44"/>
        </w:rPr>
        <w:t>关</w:t>
      </w:r>
      <w:r>
        <w:rPr>
          <w:rFonts w:ascii="Times New Roman" w:eastAsia="方正小标宋_GBK" w:hAnsi="Times New Roman"/>
          <w:sz w:val="44"/>
          <w:szCs w:val="44"/>
        </w:rPr>
        <w:t>于市政协</w:t>
      </w:r>
      <w:r>
        <w:rPr>
          <w:rFonts w:ascii="Times New Roman" w:eastAsia="方正小标宋_GBK" w:hAnsi="Times New Roman" w:hint="eastAsia"/>
          <w:sz w:val="44"/>
          <w:szCs w:val="44"/>
        </w:rPr>
        <w:t>五</w:t>
      </w:r>
      <w:r>
        <w:rPr>
          <w:rFonts w:ascii="Times New Roman" w:eastAsia="方正小标宋_GBK" w:hAnsi="Times New Roman"/>
          <w:sz w:val="44"/>
          <w:szCs w:val="44"/>
        </w:rPr>
        <w:t>届</w:t>
      </w:r>
      <w:r>
        <w:rPr>
          <w:rFonts w:ascii="Times New Roman" w:eastAsia="方正小标宋_GBK" w:hAnsi="Times New Roman" w:hint="eastAsia"/>
          <w:sz w:val="44"/>
          <w:szCs w:val="44"/>
        </w:rPr>
        <w:t>二</w:t>
      </w:r>
      <w:r>
        <w:rPr>
          <w:rFonts w:ascii="Times New Roman" w:eastAsia="方正小标宋_GBK" w:hAnsi="Times New Roman"/>
          <w:sz w:val="44"/>
          <w:szCs w:val="44"/>
        </w:rPr>
        <w:t>次会议</w:t>
      </w:r>
    </w:p>
    <w:p w:rsidR="00397654" w:rsidRDefault="00397654" w:rsidP="00397654">
      <w:pPr>
        <w:spacing w:line="640" w:lineRule="exact"/>
        <w:jc w:val="center"/>
        <w:rPr>
          <w:rFonts w:ascii="Times New Roman" w:eastAsia="方正小标宋_GBK" w:hAnsi="Times New Roman"/>
          <w:sz w:val="44"/>
          <w:szCs w:val="44"/>
        </w:rPr>
      </w:pPr>
      <w:r>
        <w:rPr>
          <w:rFonts w:ascii="Times New Roman" w:eastAsia="方正小标宋_GBK" w:hAnsi="Times New Roman"/>
          <w:sz w:val="44"/>
          <w:szCs w:val="44"/>
        </w:rPr>
        <w:t>第</w:t>
      </w:r>
      <w:r>
        <w:rPr>
          <w:rFonts w:ascii="Times New Roman" w:eastAsia="方正小标宋_GBK" w:hAnsi="Times New Roman" w:hint="eastAsia"/>
          <w:sz w:val="44"/>
          <w:szCs w:val="44"/>
        </w:rPr>
        <w:t>089</w:t>
      </w:r>
      <w:r>
        <w:rPr>
          <w:rFonts w:ascii="Times New Roman" w:eastAsia="方正小标宋_GBK" w:hAnsi="Times New Roman"/>
          <w:sz w:val="44"/>
          <w:szCs w:val="44"/>
        </w:rPr>
        <w:t>号提案的答复</w:t>
      </w:r>
    </w:p>
    <w:p w:rsidR="00397654" w:rsidRDefault="00397654" w:rsidP="00397654">
      <w:pPr>
        <w:spacing w:line="640" w:lineRule="exact"/>
        <w:jc w:val="center"/>
        <w:rPr>
          <w:rFonts w:ascii="Times New Roman" w:eastAsia="方正小标宋_GBK" w:hAnsi="Times New Roman"/>
          <w:sz w:val="44"/>
          <w:szCs w:val="44"/>
        </w:rPr>
      </w:pPr>
    </w:p>
    <w:p w:rsidR="00A949CD" w:rsidRPr="003B7384" w:rsidRDefault="00D1664A">
      <w:pPr>
        <w:rPr>
          <w:rFonts w:ascii="仿宋" w:eastAsia="仿宋" w:hAnsi="仿宋" w:cs="仿宋_GB2312"/>
          <w:sz w:val="32"/>
          <w:szCs w:val="32"/>
        </w:rPr>
      </w:pPr>
      <w:r w:rsidRPr="003B7384">
        <w:rPr>
          <w:rFonts w:ascii="仿宋" w:eastAsia="仿宋" w:hAnsi="仿宋" w:cs="仿宋_GB2312" w:hint="eastAsia"/>
          <w:sz w:val="32"/>
          <w:szCs w:val="32"/>
        </w:rPr>
        <w:t>尊敬的吕雅娟委员：</w:t>
      </w:r>
    </w:p>
    <w:p w:rsidR="00A949CD" w:rsidRPr="003B7384" w:rsidRDefault="00D1664A" w:rsidP="003B7384">
      <w:pPr>
        <w:ind w:firstLineChars="200" w:firstLine="640"/>
        <w:rPr>
          <w:rFonts w:ascii="仿宋" w:eastAsia="仿宋" w:hAnsi="仿宋" w:cs="仿宋_GB2312"/>
          <w:sz w:val="32"/>
          <w:szCs w:val="32"/>
        </w:rPr>
      </w:pPr>
      <w:r w:rsidRPr="003B7384">
        <w:rPr>
          <w:rFonts w:ascii="仿宋" w:eastAsia="仿宋" w:hAnsi="仿宋" w:cs="仿宋_GB2312" w:hint="eastAsia"/>
          <w:sz w:val="32"/>
          <w:szCs w:val="32"/>
        </w:rPr>
        <w:t>您提出的关于做好农业“产业链”文章为“大农业”提质增效的几点建议收悉。经我局认真研究，现答复如下。</w:t>
      </w:r>
    </w:p>
    <w:p w:rsidR="00A949CD" w:rsidRPr="003B7384" w:rsidRDefault="00D1664A" w:rsidP="00397654">
      <w:pPr>
        <w:spacing w:beforeLines="50" w:afterLines="50" w:line="360" w:lineRule="auto"/>
        <w:ind w:firstLineChars="200" w:firstLine="640"/>
        <w:jc w:val="left"/>
        <w:rPr>
          <w:rFonts w:ascii="仿宋" w:eastAsia="仿宋" w:hAnsi="仿宋" w:cs="黑体"/>
          <w:sz w:val="32"/>
          <w:szCs w:val="32"/>
        </w:rPr>
      </w:pPr>
      <w:r w:rsidRPr="003B7384">
        <w:rPr>
          <w:rFonts w:ascii="仿宋" w:eastAsia="仿宋" w:hAnsi="仿宋" w:cs="仿宋_GB2312" w:hint="eastAsia"/>
          <w:sz w:val="32"/>
          <w:szCs w:val="32"/>
        </w:rPr>
        <w:t>习近平总书记指出，产业兴旺是解决农村一切问题的前提，要推动乡村产业振兴。近年来，我们围绕市委、市政府提出的优质稻、蔬菜、果业、茶叶、畜禽、水产、中药材、笋竹、油茶、</w:t>
      </w:r>
      <w:proofErr w:type="gramStart"/>
      <w:r w:rsidRPr="003B7384">
        <w:rPr>
          <w:rFonts w:ascii="仿宋" w:eastAsia="仿宋" w:hAnsi="仿宋" w:cs="仿宋_GB2312" w:hint="eastAsia"/>
          <w:sz w:val="32"/>
          <w:szCs w:val="32"/>
        </w:rPr>
        <w:t>农旅“十大”</w:t>
      </w:r>
      <w:proofErr w:type="gramEnd"/>
      <w:r w:rsidRPr="003B7384">
        <w:rPr>
          <w:rFonts w:ascii="仿宋" w:eastAsia="仿宋" w:hAnsi="仿宋" w:cs="仿宋_GB2312" w:hint="eastAsia"/>
          <w:sz w:val="32"/>
          <w:szCs w:val="32"/>
        </w:rPr>
        <w:t>主导特色农业发展布局，以全面实施乡村振兴发展战略为抓手，以市场为导向，大力培育农业品牌企业和品牌产品，进一步扩大了农产品流通效率，提升农产品品牌价值，提高农产品市场竞争力，乡村产业保持良好发展势头，有力助推了乡村振兴。</w:t>
      </w:r>
    </w:p>
    <w:p w:rsidR="00A949CD" w:rsidRPr="00AF49A4" w:rsidRDefault="00D1664A" w:rsidP="00AF49A4">
      <w:pPr>
        <w:numPr>
          <w:ilvl w:val="0"/>
          <w:numId w:val="1"/>
        </w:numPr>
        <w:ind w:firstLineChars="200" w:firstLine="643"/>
        <w:jc w:val="left"/>
        <w:rPr>
          <w:rFonts w:ascii="仿宋" w:eastAsia="仿宋" w:hAnsi="仿宋" w:cs="黑体"/>
          <w:b/>
          <w:sz w:val="32"/>
          <w:szCs w:val="32"/>
        </w:rPr>
      </w:pPr>
      <w:r w:rsidRPr="00AF49A4">
        <w:rPr>
          <w:rFonts w:ascii="仿宋" w:eastAsia="仿宋" w:hAnsi="仿宋" w:cs="黑体" w:hint="eastAsia"/>
          <w:b/>
          <w:sz w:val="32"/>
          <w:szCs w:val="32"/>
        </w:rPr>
        <w:t>主要工作开展情况</w:t>
      </w:r>
    </w:p>
    <w:p w:rsidR="00A949CD" w:rsidRPr="003B7384" w:rsidRDefault="00D1664A" w:rsidP="003B7384">
      <w:pPr>
        <w:pStyle w:val="2"/>
        <w:ind w:leftChars="0" w:left="0" w:firstLine="643"/>
        <w:rPr>
          <w:rFonts w:ascii="仿宋" w:eastAsia="仿宋" w:hAnsi="仿宋"/>
          <w:sz w:val="32"/>
          <w:szCs w:val="32"/>
        </w:rPr>
      </w:pPr>
      <w:r w:rsidRPr="003B7384">
        <w:rPr>
          <w:rFonts w:ascii="仿宋" w:eastAsia="仿宋" w:hAnsi="仿宋" w:cs="仿宋_GB2312" w:hint="eastAsia"/>
          <w:b/>
          <w:bCs/>
          <w:sz w:val="32"/>
          <w:szCs w:val="32"/>
        </w:rPr>
        <w:t>一是抓好现代农业园区创建。</w:t>
      </w:r>
      <w:r w:rsidRPr="003B7384">
        <w:rPr>
          <w:rFonts w:ascii="仿宋" w:eastAsia="仿宋" w:hAnsi="仿宋" w:cs="Times New Roman" w:hint="eastAsia"/>
          <w:sz w:val="32"/>
          <w:szCs w:val="32"/>
        </w:rPr>
        <w:t>始终将现代农业园区发展建设作为实施乡村振兴战略的重要抓手，全面系统谋划，积极整合资源，强化政策解读指导，千方百计推进</w:t>
      </w:r>
      <w:r w:rsidRPr="003B7384">
        <w:rPr>
          <w:rFonts w:ascii="仿宋" w:eastAsia="仿宋" w:hAnsi="仿宋" w:cs="Times New Roman"/>
          <w:sz w:val="32"/>
          <w:szCs w:val="32"/>
        </w:rPr>
        <w:t>现代农业园</w:t>
      </w:r>
      <w:r w:rsidRPr="003B7384">
        <w:rPr>
          <w:rFonts w:ascii="仿宋" w:eastAsia="仿宋" w:hAnsi="仿宋" w:cs="Times New Roman"/>
          <w:sz w:val="32"/>
          <w:szCs w:val="32"/>
        </w:rPr>
        <w:lastRenderedPageBreak/>
        <w:t>区创建</w:t>
      </w:r>
      <w:r w:rsidRPr="003B7384">
        <w:rPr>
          <w:rFonts w:ascii="仿宋" w:eastAsia="仿宋" w:hAnsi="仿宋" w:cs="Times New Roman" w:hint="eastAsia"/>
          <w:sz w:val="32"/>
          <w:szCs w:val="32"/>
        </w:rPr>
        <w:t>。今年，</w:t>
      </w:r>
      <w:proofErr w:type="gramStart"/>
      <w:r w:rsidRPr="003B7384">
        <w:rPr>
          <w:rFonts w:ascii="仿宋" w:eastAsia="仿宋" w:hAnsi="仿宋" w:cs="Times New Roman" w:hint="eastAsia"/>
          <w:sz w:val="32"/>
          <w:szCs w:val="32"/>
        </w:rPr>
        <w:t>广信区现代</w:t>
      </w:r>
      <w:proofErr w:type="gramEnd"/>
      <w:r w:rsidRPr="003B7384">
        <w:rPr>
          <w:rFonts w:ascii="仿宋" w:eastAsia="仿宋" w:hAnsi="仿宋" w:cs="Times New Roman" w:hint="eastAsia"/>
          <w:sz w:val="32"/>
          <w:szCs w:val="32"/>
        </w:rPr>
        <w:t>农业产业园成功获</w:t>
      </w:r>
      <w:proofErr w:type="gramStart"/>
      <w:r w:rsidRPr="003B7384">
        <w:rPr>
          <w:rFonts w:ascii="仿宋" w:eastAsia="仿宋" w:hAnsi="仿宋" w:cs="Times New Roman" w:hint="eastAsia"/>
          <w:sz w:val="32"/>
          <w:szCs w:val="32"/>
        </w:rPr>
        <w:t>批国家</w:t>
      </w:r>
      <w:proofErr w:type="gramEnd"/>
      <w:r w:rsidRPr="003B7384">
        <w:rPr>
          <w:rFonts w:ascii="仿宋" w:eastAsia="仿宋" w:hAnsi="仿宋" w:cs="Times New Roman" w:hint="eastAsia"/>
          <w:sz w:val="32"/>
          <w:szCs w:val="32"/>
        </w:rPr>
        <w:t>现代农业产业园，预计将获得中央财政支持资金1亿元，横峰</w:t>
      </w:r>
      <w:proofErr w:type="gramStart"/>
      <w:r w:rsidRPr="003B7384">
        <w:rPr>
          <w:rFonts w:ascii="仿宋" w:eastAsia="仿宋" w:hAnsi="仿宋" w:cs="Times New Roman" w:hint="eastAsia"/>
          <w:sz w:val="32"/>
          <w:szCs w:val="32"/>
        </w:rPr>
        <w:t>县现代</w:t>
      </w:r>
      <w:proofErr w:type="gramEnd"/>
      <w:r w:rsidRPr="003B7384">
        <w:rPr>
          <w:rFonts w:ascii="仿宋" w:eastAsia="仿宋" w:hAnsi="仿宋" w:cs="Times New Roman" w:hint="eastAsia"/>
          <w:sz w:val="32"/>
          <w:szCs w:val="32"/>
        </w:rPr>
        <w:t>农业产业园成功获批省级现代农业产业园，获得省级财政支持资金6</w:t>
      </w:r>
      <w:r w:rsidRPr="003B7384">
        <w:rPr>
          <w:rFonts w:ascii="仿宋" w:eastAsia="仿宋" w:hAnsi="仿宋" w:cs="Times New Roman"/>
          <w:sz w:val="32"/>
          <w:szCs w:val="32"/>
        </w:rPr>
        <w:t>00万元</w:t>
      </w:r>
      <w:r w:rsidRPr="003B7384">
        <w:rPr>
          <w:rFonts w:ascii="仿宋" w:eastAsia="仿宋" w:hAnsi="仿宋" w:cs="Times New Roman" w:hint="eastAsia"/>
          <w:sz w:val="32"/>
          <w:szCs w:val="32"/>
        </w:rPr>
        <w:t>。截止</w:t>
      </w:r>
      <w:r w:rsidRPr="003B7384">
        <w:rPr>
          <w:rFonts w:ascii="仿宋" w:eastAsia="仿宋" w:hAnsi="仿宋" w:hint="eastAsia"/>
          <w:sz w:val="32"/>
          <w:szCs w:val="32"/>
        </w:rPr>
        <w:t>目前，全市创建国家现代农业产业园</w:t>
      </w:r>
      <w:r w:rsidRPr="003B7384">
        <w:rPr>
          <w:rFonts w:ascii="仿宋" w:eastAsia="仿宋" w:hAnsi="仿宋"/>
          <w:sz w:val="32"/>
          <w:szCs w:val="32"/>
        </w:rPr>
        <w:t>2</w:t>
      </w:r>
      <w:r w:rsidRPr="003B7384">
        <w:rPr>
          <w:rFonts w:ascii="仿宋" w:eastAsia="仿宋" w:hAnsi="仿宋" w:hint="eastAsia"/>
          <w:sz w:val="32"/>
          <w:szCs w:val="32"/>
        </w:rPr>
        <w:t>家，省级现代农业产业园</w:t>
      </w:r>
      <w:r w:rsidRPr="003B7384">
        <w:rPr>
          <w:rFonts w:ascii="仿宋" w:eastAsia="仿宋" w:hAnsi="仿宋"/>
          <w:sz w:val="32"/>
          <w:szCs w:val="32"/>
        </w:rPr>
        <w:t>6</w:t>
      </w:r>
      <w:r w:rsidRPr="003B7384">
        <w:rPr>
          <w:rFonts w:ascii="仿宋" w:eastAsia="仿宋" w:hAnsi="仿宋" w:hint="eastAsia"/>
          <w:sz w:val="32"/>
          <w:szCs w:val="32"/>
        </w:rPr>
        <w:t>家，省级现代农业示范园36家，市级现代农业示范园7</w:t>
      </w:r>
      <w:r w:rsidRPr="003B7384">
        <w:rPr>
          <w:rFonts w:ascii="仿宋" w:eastAsia="仿宋" w:hAnsi="仿宋"/>
          <w:sz w:val="32"/>
          <w:szCs w:val="32"/>
        </w:rPr>
        <w:t>0家</w:t>
      </w:r>
      <w:r w:rsidRPr="003B7384">
        <w:rPr>
          <w:rFonts w:ascii="仿宋" w:eastAsia="仿宋" w:hAnsi="仿宋" w:hint="eastAsia"/>
          <w:sz w:val="32"/>
          <w:szCs w:val="32"/>
        </w:rPr>
        <w:t>，实现了所有县（市、区）全覆盖。</w:t>
      </w:r>
    </w:p>
    <w:p w:rsidR="00A949CD" w:rsidRPr="003B7384" w:rsidRDefault="00D1664A" w:rsidP="003B7384">
      <w:pPr>
        <w:spacing w:line="360" w:lineRule="auto"/>
        <w:ind w:firstLineChars="200" w:firstLine="643"/>
        <w:rPr>
          <w:rFonts w:ascii="仿宋" w:eastAsia="仿宋" w:hAnsi="仿宋"/>
          <w:sz w:val="32"/>
          <w:szCs w:val="32"/>
        </w:rPr>
      </w:pPr>
      <w:r w:rsidRPr="003B7384">
        <w:rPr>
          <w:rFonts w:ascii="仿宋" w:eastAsia="仿宋" w:hAnsi="仿宋" w:cs="仿宋_GB2312" w:hint="eastAsia"/>
          <w:b/>
          <w:bCs/>
          <w:sz w:val="32"/>
          <w:szCs w:val="32"/>
        </w:rPr>
        <w:t>二是强化现代农业园区管理。</w:t>
      </w:r>
      <w:r w:rsidRPr="003B7384">
        <w:rPr>
          <w:rFonts w:ascii="仿宋" w:eastAsia="仿宋" w:hAnsi="仿宋" w:cs="Times New Roman" w:hint="eastAsia"/>
          <w:sz w:val="32"/>
          <w:szCs w:val="32"/>
        </w:rPr>
        <w:t>全市12个县（市、区）都建成了县（市、区）现代农业示范园，设立了正科级事业单位</w:t>
      </w:r>
      <w:r w:rsidRPr="003B7384">
        <w:rPr>
          <w:rFonts w:ascii="仿宋" w:eastAsia="仿宋" w:hAnsi="仿宋" w:hint="eastAsia"/>
          <w:sz w:val="32"/>
          <w:szCs w:val="32"/>
        </w:rPr>
        <w:t>，</w:t>
      </w:r>
      <w:r w:rsidRPr="003B7384">
        <w:rPr>
          <w:rFonts w:ascii="仿宋" w:eastAsia="仿宋" w:hAnsi="仿宋" w:cs="Times New Roman"/>
          <w:sz w:val="32"/>
          <w:szCs w:val="32"/>
        </w:rPr>
        <w:t>印发了</w:t>
      </w:r>
      <w:r w:rsidRPr="003B7384">
        <w:rPr>
          <w:rFonts w:ascii="仿宋" w:eastAsia="仿宋" w:hAnsi="仿宋" w:cs="Times New Roman" w:hint="eastAsia"/>
          <w:sz w:val="32"/>
          <w:szCs w:val="32"/>
        </w:rPr>
        <w:t>《关于做好省级现代农业示范园基本情况统计调度的通知》文件，建立了现代农业示范园定期调度制度，每月对全市省级现代农业示范园经营状况和招商引资情况开展调度，掌握各园区发展建设情况。同时，督促各园区要因地制宜发展壮大优势特色主导产业，强化人才、资金、技术向园区集聚，加强品牌创建与市场营销，提升园区质量效益。2021</w:t>
      </w:r>
      <w:r w:rsidRPr="003B7384">
        <w:rPr>
          <w:rFonts w:ascii="仿宋" w:eastAsia="仿宋" w:hAnsi="仿宋" w:hint="eastAsia"/>
          <w:sz w:val="32"/>
          <w:szCs w:val="32"/>
        </w:rPr>
        <w:t>年，全市</w:t>
      </w:r>
      <w:r w:rsidRPr="003B7384">
        <w:rPr>
          <w:rFonts w:ascii="仿宋" w:eastAsia="仿宋" w:hAnsi="仿宋" w:cs="Times New Roman" w:hint="eastAsia"/>
          <w:sz w:val="32"/>
          <w:szCs w:val="32"/>
        </w:rPr>
        <w:t>36</w:t>
      </w:r>
      <w:r w:rsidRPr="003B7384">
        <w:rPr>
          <w:rFonts w:ascii="仿宋" w:eastAsia="仿宋" w:hAnsi="仿宋" w:hint="eastAsia"/>
          <w:sz w:val="32"/>
          <w:szCs w:val="32"/>
        </w:rPr>
        <w:t>个省级现代农业示范</w:t>
      </w:r>
      <w:proofErr w:type="gramStart"/>
      <w:r w:rsidRPr="003B7384">
        <w:rPr>
          <w:rFonts w:ascii="仿宋" w:eastAsia="仿宋" w:hAnsi="仿宋" w:hint="eastAsia"/>
          <w:sz w:val="32"/>
          <w:szCs w:val="32"/>
        </w:rPr>
        <w:t>园实现</w:t>
      </w:r>
      <w:proofErr w:type="gramEnd"/>
      <w:r w:rsidRPr="003B7384">
        <w:rPr>
          <w:rFonts w:ascii="仿宋" w:eastAsia="仿宋" w:hAnsi="仿宋" w:hint="eastAsia"/>
          <w:sz w:val="32"/>
          <w:szCs w:val="32"/>
        </w:rPr>
        <w:t>产值</w:t>
      </w:r>
      <w:r w:rsidRPr="003B7384">
        <w:rPr>
          <w:rFonts w:ascii="仿宋" w:eastAsia="仿宋" w:hAnsi="仿宋" w:cs="Times New Roman" w:hint="eastAsia"/>
          <w:sz w:val="32"/>
          <w:szCs w:val="32"/>
        </w:rPr>
        <w:t>52.75</w:t>
      </w:r>
      <w:r w:rsidRPr="003B7384">
        <w:rPr>
          <w:rFonts w:ascii="仿宋" w:eastAsia="仿宋" w:hAnsi="仿宋" w:hint="eastAsia"/>
          <w:sz w:val="32"/>
          <w:szCs w:val="32"/>
        </w:rPr>
        <w:t>亿元，实现经营性收入</w:t>
      </w:r>
      <w:r w:rsidRPr="003B7384">
        <w:rPr>
          <w:rFonts w:ascii="仿宋" w:eastAsia="仿宋" w:hAnsi="仿宋" w:cs="Times New Roman" w:hint="eastAsia"/>
          <w:sz w:val="32"/>
          <w:szCs w:val="32"/>
        </w:rPr>
        <w:t>47.43</w:t>
      </w:r>
      <w:r w:rsidRPr="003B7384">
        <w:rPr>
          <w:rFonts w:ascii="仿宋" w:eastAsia="仿宋" w:hAnsi="仿宋" w:hint="eastAsia"/>
          <w:sz w:val="32"/>
          <w:szCs w:val="32"/>
        </w:rPr>
        <w:t>亿元，入园经营主体达</w:t>
      </w:r>
      <w:r w:rsidRPr="003B7384">
        <w:rPr>
          <w:rFonts w:ascii="仿宋" w:eastAsia="仿宋" w:hAnsi="仿宋" w:cs="Times New Roman" w:hint="eastAsia"/>
          <w:sz w:val="32"/>
          <w:szCs w:val="32"/>
        </w:rPr>
        <w:t>301</w:t>
      </w:r>
      <w:r w:rsidRPr="003B7384">
        <w:rPr>
          <w:rFonts w:ascii="仿宋" w:eastAsia="仿宋" w:hAnsi="仿宋" w:hint="eastAsia"/>
          <w:sz w:val="32"/>
          <w:szCs w:val="32"/>
        </w:rPr>
        <w:t>家</w:t>
      </w:r>
      <w:r w:rsidRPr="003B7384">
        <w:rPr>
          <w:rFonts w:ascii="仿宋" w:eastAsia="仿宋" w:hAnsi="仿宋" w:cs="Times New Roman" w:hint="eastAsia"/>
          <w:sz w:val="32"/>
          <w:szCs w:val="32"/>
        </w:rPr>
        <w:t>,</w:t>
      </w:r>
      <w:r w:rsidRPr="003B7384">
        <w:rPr>
          <w:rFonts w:ascii="仿宋" w:eastAsia="仿宋" w:hAnsi="仿宋" w:hint="eastAsia"/>
          <w:sz w:val="32"/>
          <w:szCs w:val="32"/>
        </w:rPr>
        <w:t>有效带动了当地农业产业发展和农民增收。</w:t>
      </w:r>
    </w:p>
    <w:p w:rsidR="00A949CD" w:rsidRPr="003B7384" w:rsidRDefault="00D1664A" w:rsidP="003B7384">
      <w:pPr>
        <w:pStyle w:val="2"/>
        <w:ind w:leftChars="0" w:left="0" w:firstLine="643"/>
        <w:rPr>
          <w:rFonts w:ascii="仿宋" w:eastAsia="仿宋" w:hAnsi="仿宋"/>
          <w:sz w:val="32"/>
          <w:szCs w:val="32"/>
        </w:rPr>
      </w:pPr>
      <w:r w:rsidRPr="003B7384">
        <w:rPr>
          <w:rFonts w:ascii="仿宋" w:eastAsia="仿宋" w:hAnsi="仿宋" w:cs="仿宋_GB2312" w:hint="eastAsia"/>
          <w:b/>
          <w:bCs/>
          <w:sz w:val="32"/>
          <w:szCs w:val="32"/>
        </w:rPr>
        <w:t>三是加强现代农业园区招商引资。</w:t>
      </w:r>
      <w:r w:rsidRPr="003B7384">
        <w:rPr>
          <w:rFonts w:ascii="仿宋" w:eastAsia="仿宋" w:hAnsi="仿宋" w:cs="Times New Roman" w:hint="eastAsia"/>
          <w:sz w:val="32"/>
          <w:szCs w:val="32"/>
        </w:rPr>
        <w:t>积极督促指导各</w:t>
      </w:r>
      <w:proofErr w:type="gramStart"/>
      <w:r w:rsidRPr="003B7384">
        <w:rPr>
          <w:rFonts w:ascii="仿宋" w:eastAsia="仿宋" w:hAnsi="仿宋" w:cs="Times New Roman" w:hint="eastAsia"/>
          <w:sz w:val="32"/>
          <w:szCs w:val="32"/>
        </w:rPr>
        <w:t>园区加大</w:t>
      </w:r>
      <w:proofErr w:type="gramEnd"/>
      <w:r w:rsidRPr="003B7384">
        <w:rPr>
          <w:rFonts w:ascii="仿宋" w:eastAsia="仿宋" w:hAnsi="仿宋" w:cs="Times New Roman" w:hint="eastAsia"/>
          <w:sz w:val="32"/>
          <w:szCs w:val="32"/>
        </w:rPr>
        <w:t>招商引资力度，巩固完善招商引资优惠政策，外出考察学习先进经验做法，提高自身吸引力，着力引进一批大型农业项目，助力园区发展和效益提升。</w:t>
      </w:r>
      <w:r w:rsidRPr="003B7384">
        <w:rPr>
          <w:rFonts w:ascii="仿宋" w:eastAsia="仿宋" w:hAnsi="仿宋" w:cs="Times New Roman"/>
          <w:sz w:val="32"/>
          <w:szCs w:val="32"/>
        </w:rPr>
        <w:t>2021年</w:t>
      </w:r>
      <w:r w:rsidRPr="003B7384">
        <w:rPr>
          <w:rFonts w:ascii="仿宋" w:eastAsia="仿宋" w:hAnsi="仿宋" w:cs="Times New Roman" w:hint="eastAsia"/>
          <w:sz w:val="32"/>
          <w:szCs w:val="32"/>
        </w:rPr>
        <w:t>，全市省级现代</w:t>
      </w:r>
      <w:r w:rsidRPr="003B7384">
        <w:rPr>
          <w:rFonts w:ascii="仿宋" w:eastAsia="仿宋" w:hAnsi="仿宋" w:cs="Times New Roman" w:hint="eastAsia"/>
          <w:sz w:val="32"/>
          <w:szCs w:val="32"/>
        </w:rPr>
        <w:lastRenderedPageBreak/>
        <w:t>农业示范园招商引资签约项目资金达</w:t>
      </w:r>
      <w:r w:rsidRPr="003B7384">
        <w:rPr>
          <w:rFonts w:ascii="仿宋" w:eastAsia="仿宋" w:hAnsi="仿宋" w:cs="Times New Roman"/>
          <w:sz w:val="32"/>
          <w:szCs w:val="32"/>
        </w:rPr>
        <w:t>6.506</w:t>
      </w:r>
      <w:r w:rsidRPr="003B7384">
        <w:rPr>
          <w:rFonts w:ascii="仿宋" w:eastAsia="仿宋" w:hAnsi="仿宋" w:cs="Times New Roman" w:hint="eastAsia"/>
          <w:sz w:val="32"/>
          <w:szCs w:val="32"/>
        </w:rPr>
        <w:t>亿。</w:t>
      </w:r>
    </w:p>
    <w:p w:rsidR="00A949CD" w:rsidRPr="003B7384" w:rsidRDefault="00D1664A" w:rsidP="003B7384">
      <w:pPr>
        <w:widowControl/>
        <w:ind w:firstLineChars="200" w:firstLine="643"/>
        <w:jc w:val="left"/>
        <w:rPr>
          <w:rFonts w:ascii="仿宋" w:eastAsia="仿宋" w:hAnsi="仿宋" w:cs="仿宋_GB2312"/>
          <w:sz w:val="32"/>
          <w:szCs w:val="32"/>
        </w:rPr>
      </w:pPr>
      <w:r w:rsidRPr="003B7384">
        <w:rPr>
          <w:rFonts w:ascii="仿宋" w:eastAsia="仿宋" w:hAnsi="仿宋" w:cs="仿宋_GB2312" w:hint="eastAsia"/>
          <w:b/>
          <w:bCs/>
          <w:sz w:val="32"/>
          <w:szCs w:val="32"/>
        </w:rPr>
        <w:t>四是强化农副产品品牌宣传。</w:t>
      </w:r>
      <w:r w:rsidRPr="003B7384">
        <w:rPr>
          <w:rFonts w:ascii="仿宋" w:eastAsia="仿宋" w:hAnsi="仿宋" w:cs="仿宋_GB2312" w:hint="eastAsia"/>
          <w:sz w:val="32"/>
          <w:szCs w:val="32"/>
        </w:rPr>
        <w:t>统筹市、县两级涉农资金，积极开展农产品区域公用品牌在央视、江西卫视做广告宣传，同时大力引导企业自主品牌参与重要电视、网络及新媒体宣传推介。同时，还组织了区域公用</w:t>
      </w:r>
      <w:proofErr w:type="gramStart"/>
      <w:r w:rsidRPr="003B7384">
        <w:rPr>
          <w:rFonts w:ascii="仿宋" w:eastAsia="仿宋" w:hAnsi="仿宋" w:cs="仿宋_GB2312" w:hint="eastAsia"/>
          <w:sz w:val="32"/>
          <w:szCs w:val="32"/>
        </w:rPr>
        <w:t>品牌进</w:t>
      </w:r>
      <w:proofErr w:type="gramEnd"/>
      <w:r w:rsidRPr="003B7384">
        <w:rPr>
          <w:rFonts w:ascii="仿宋" w:eastAsia="仿宋" w:hAnsi="仿宋" w:cs="仿宋_GB2312" w:hint="eastAsia"/>
          <w:sz w:val="32"/>
          <w:szCs w:val="32"/>
        </w:rPr>
        <w:t>机场、进高铁站、进地铁站、进楼宇和融合新媒体等宣传活动（以下简称“四进一融”），</w:t>
      </w:r>
      <w:r w:rsidR="00765444" w:rsidRPr="00765444">
        <w:rPr>
          <w:rFonts w:ascii="仿宋" w:eastAsia="仿宋" w:hAnsi="仿宋" w:cs="Times New Roman" w:hint="eastAsia"/>
          <w:sz w:val="32"/>
          <w:szCs w:val="32"/>
        </w:rPr>
        <w:t xml:space="preserve"> 2022年组织了玉山香榧、万年贡米、德兴覆盆子参加省厅1+N</w:t>
      </w:r>
      <w:proofErr w:type="gramStart"/>
      <w:r w:rsidR="00765444" w:rsidRPr="00765444">
        <w:rPr>
          <w:rFonts w:ascii="仿宋" w:eastAsia="仿宋" w:hAnsi="仿宋" w:cs="Times New Roman" w:hint="eastAsia"/>
          <w:sz w:val="32"/>
          <w:szCs w:val="32"/>
        </w:rPr>
        <w:t>个</w:t>
      </w:r>
      <w:proofErr w:type="gramEnd"/>
      <w:r w:rsidR="00765444" w:rsidRPr="00765444">
        <w:rPr>
          <w:rFonts w:ascii="仿宋" w:eastAsia="仿宋" w:hAnsi="仿宋" w:cs="Times New Roman" w:hint="eastAsia"/>
          <w:sz w:val="32"/>
          <w:szCs w:val="32"/>
        </w:rPr>
        <w:t>渠道的品牌宣传，另组织玉山白玉豆、玉山香榧等12个县（市、区）的19个农产品区域公用品牌，分三期在上饶高铁站落地灯箱和上饶高铁站出站通道灯箱，上饶三清山机场到达走廊灯箱和机场出发大厅1号LED大屏进行投放。</w:t>
      </w:r>
      <w:r w:rsidRPr="00765444">
        <w:rPr>
          <w:rFonts w:ascii="仿宋" w:eastAsia="仿宋" w:hAnsi="仿宋" w:cs="Times New Roman" w:hint="eastAsia"/>
          <w:sz w:val="32"/>
          <w:szCs w:val="32"/>
        </w:rPr>
        <w:t>通过形式多样的品牌宣传，赢</w:t>
      </w:r>
      <w:r w:rsidRPr="003B7384">
        <w:rPr>
          <w:rFonts w:ascii="仿宋" w:eastAsia="仿宋" w:hAnsi="仿宋" w:cs="仿宋_GB2312" w:hint="eastAsia"/>
          <w:sz w:val="32"/>
          <w:szCs w:val="32"/>
        </w:rPr>
        <w:t>得了较好的市场口碑，公共区域品牌价值有了较大的提升。</w:t>
      </w:r>
    </w:p>
    <w:p w:rsidR="00A949CD" w:rsidRPr="003B7384" w:rsidRDefault="00D1664A" w:rsidP="003B7384">
      <w:pPr>
        <w:widowControl/>
        <w:ind w:firstLineChars="200" w:firstLine="643"/>
        <w:jc w:val="left"/>
        <w:rPr>
          <w:rFonts w:ascii="仿宋" w:eastAsia="仿宋" w:hAnsi="仿宋"/>
          <w:sz w:val="32"/>
          <w:szCs w:val="32"/>
        </w:rPr>
      </w:pPr>
      <w:r w:rsidRPr="003B7384">
        <w:rPr>
          <w:rFonts w:ascii="仿宋" w:eastAsia="仿宋" w:hAnsi="仿宋" w:cs="仿宋_GB2312" w:hint="eastAsia"/>
          <w:b/>
          <w:bCs/>
          <w:sz w:val="32"/>
          <w:szCs w:val="32"/>
        </w:rPr>
        <w:t>五是做好农副产品展会营销。</w:t>
      </w:r>
      <w:r w:rsidRPr="003B7384">
        <w:rPr>
          <w:rFonts w:ascii="仿宋" w:eastAsia="仿宋" w:hAnsi="仿宋" w:cs="仿宋_GB2312" w:hint="eastAsia"/>
          <w:sz w:val="32"/>
          <w:szCs w:val="32"/>
        </w:rPr>
        <w:t>组织各类农业企业、专业合作社、家庭农场等新型农业经营主体，参与国际性、全国性、地域性等农产品展示展销与推介活动。参加或承办农产品展销及推介活动不下100场次，超200个特色农产品在各类展会上获得畅销产品金奖，展会现场零售额累计过1000万元，合同订货销售额累计破亿元，意向性协议金额达百亿元。通过展销和推介提升企业及产品</w:t>
      </w:r>
      <w:proofErr w:type="gramStart"/>
      <w:r w:rsidRPr="003B7384">
        <w:rPr>
          <w:rFonts w:ascii="仿宋" w:eastAsia="仿宋" w:hAnsi="仿宋" w:cs="仿宋_GB2312" w:hint="eastAsia"/>
          <w:sz w:val="32"/>
          <w:szCs w:val="32"/>
        </w:rPr>
        <w:t>再全国</w:t>
      </w:r>
      <w:proofErr w:type="gramEnd"/>
      <w:r w:rsidRPr="003B7384">
        <w:rPr>
          <w:rFonts w:ascii="仿宋" w:eastAsia="仿宋" w:hAnsi="仿宋" w:cs="仿宋_GB2312" w:hint="eastAsia"/>
          <w:sz w:val="32"/>
          <w:szCs w:val="32"/>
        </w:rPr>
        <w:t>乃至国际上的知名度，同时联合京东、</w:t>
      </w:r>
      <w:proofErr w:type="gramStart"/>
      <w:r w:rsidRPr="003B7384">
        <w:rPr>
          <w:rFonts w:ascii="仿宋" w:eastAsia="仿宋" w:hAnsi="仿宋" w:cs="仿宋_GB2312" w:hint="eastAsia"/>
          <w:sz w:val="32"/>
          <w:szCs w:val="32"/>
        </w:rPr>
        <w:t>美团等</w:t>
      </w:r>
      <w:proofErr w:type="gramEnd"/>
      <w:r w:rsidRPr="003B7384">
        <w:rPr>
          <w:rFonts w:ascii="仿宋" w:eastAsia="仿宋" w:hAnsi="仿宋" w:cs="仿宋_GB2312" w:hint="eastAsia"/>
          <w:sz w:val="32"/>
          <w:szCs w:val="32"/>
        </w:rPr>
        <w:t>大型电商平台，加大网上营销力度，开展促销活动，</w:t>
      </w:r>
      <w:proofErr w:type="gramStart"/>
      <w:r w:rsidRPr="003B7384">
        <w:rPr>
          <w:rFonts w:ascii="仿宋" w:eastAsia="仿宋" w:hAnsi="仿宋" w:cs="仿宋_GB2312" w:hint="eastAsia"/>
          <w:sz w:val="32"/>
          <w:szCs w:val="32"/>
        </w:rPr>
        <w:t>实现线</w:t>
      </w:r>
      <w:proofErr w:type="gramEnd"/>
      <w:r w:rsidRPr="003B7384">
        <w:rPr>
          <w:rFonts w:ascii="仿宋" w:eastAsia="仿宋" w:hAnsi="仿宋" w:cs="仿宋_GB2312" w:hint="eastAsia"/>
          <w:sz w:val="32"/>
          <w:szCs w:val="32"/>
        </w:rPr>
        <w:t>上线下并驾齐驱。</w:t>
      </w:r>
    </w:p>
    <w:p w:rsidR="00A949CD" w:rsidRPr="00AF49A4" w:rsidRDefault="00D1664A" w:rsidP="00AF49A4">
      <w:pPr>
        <w:pStyle w:val="a6"/>
        <w:widowControl/>
        <w:numPr>
          <w:ilvl w:val="0"/>
          <w:numId w:val="2"/>
        </w:numPr>
        <w:shd w:val="clear" w:color="auto" w:fill="FFFFFF"/>
        <w:spacing w:beforeAutospacing="0" w:after="150" w:afterAutospacing="0" w:line="420" w:lineRule="atLeast"/>
        <w:ind w:firstLineChars="200" w:firstLine="643"/>
        <w:rPr>
          <w:rFonts w:ascii="仿宋" w:eastAsia="仿宋" w:hAnsi="仿宋" w:cs="黑体"/>
          <w:b/>
          <w:sz w:val="32"/>
          <w:szCs w:val="32"/>
        </w:rPr>
      </w:pPr>
      <w:r w:rsidRPr="00AF49A4">
        <w:rPr>
          <w:rFonts w:ascii="仿宋" w:eastAsia="仿宋" w:hAnsi="仿宋" w:cs="黑体" w:hint="eastAsia"/>
          <w:b/>
          <w:sz w:val="32"/>
          <w:szCs w:val="32"/>
        </w:rPr>
        <w:lastRenderedPageBreak/>
        <w:t xml:space="preserve">下一步工作   </w:t>
      </w:r>
    </w:p>
    <w:p w:rsidR="00A949CD" w:rsidRPr="003B7384" w:rsidRDefault="00D1664A" w:rsidP="003B7384">
      <w:pPr>
        <w:ind w:firstLineChars="200" w:firstLine="640"/>
        <w:rPr>
          <w:rFonts w:ascii="仿宋" w:eastAsia="仿宋" w:hAnsi="仿宋" w:cs="仿宋_GB2312"/>
          <w:sz w:val="32"/>
          <w:szCs w:val="32"/>
        </w:rPr>
      </w:pPr>
      <w:r w:rsidRPr="003B7384">
        <w:rPr>
          <w:rFonts w:ascii="仿宋" w:eastAsia="仿宋" w:hAnsi="仿宋" w:cs="仿宋_GB2312" w:hint="eastAsia"/>
          <w:sz w:val="32"/>
          <w:szCs w:val="32"/>
        </w:rPr>
        <w:t>我们将认真谋划布局，主要抓好以下重点工作：</w:t>
      </w:r>
    </w:p>
    <w:p w:rsidR="00A949CD" w:rsidRPr="003B7384" w:rsidRDefault="00D1664A" w:rsidP="003B7384">
      <w:pPr>
        <w:ind w:firstLineChars="200" w:firstLine="643"/>
        <w:rPr>
          <w:rFonts w:ascii="仿宋" w:eastAsia="仿宋" w:hAnsi="仿宋" w:cs="仿宋_GB2312"/>
          <w:sz w:val="32"/>
          <w:szCs w:val="32"/>
        </w:rPr>
      </w:pPr>
      <w:r w:rsidRPr="003B7384">
        <w:rPr>
          <w:rFonts w:ascii="仿宋" w:eastAsia="仿宋" w:hAnsi="仿宋" w:cs="仿宋" w:hint="eastAsia"/>
          <w:b/>
          <w:sz w:val="32"/>
          <w:szCs w:val="32"/>
        </w:rPr>
        <w:t>一是</w:t>
      </w:r>
      <w:r w:rsidRPr="003B7384">
        <w:rPr>
          <w:rFonts w:ascii="仿宋" w:eastAsia="仿宋" w:hAnsi="仿宋" w:cs="仿宋_GB2312" w:hint="eastAsia"/>
          <w:sz w:val="32"/>
          <w:szCs w:val="32"/>
        </w:rPr>
        <w:t>进一步加大扶持力度。积极组织园区申报农业项目，争取各类财政资金，助力示范园发展建设。鼓励金融机构为园区企业提供抵押、担保、授信等各类信贷服务，破解园区融资难题。鼓励园区开展招商引资，力争引进一批优质农业企业和项目。</w:t>
      </w:r>
    </w:p>
    <w:p w:rsidR="00A949CD" w:rsidRPr="003B7384" w:rsidRDefault="00D1664A" w:rsidP="003B7384">
      <w:pPr>
        <w:ind w:firstLineChars="200" w:firstLine="643"/>
        <w:rPr>
          <w:rFonts w:ascii="仿宋" w:eastAsia="仿宋" w:hAnsi="仿宋" w:cs="仿宋_GB2312"/>
          <w:sz w:val="32"/>
          <w:szCs w:val="32"/>
        </w:rPr>
      </w:pPr>
      <w:r w:rsidRPr="003B7384">
        <w:rPr>
          <w:rFonts w:ascii="仿宋" w:eastAsia="仿宋" w:hAnsi="仿宋" w:cs="仿宋_GB2312" w:hint="eastAsia"/>
          <w:b/>
          <w:bCs/>
          <w:sz w:val="32"/>
          <w:szCs w:val="32"/>
        </w:rPr>
        <w:t>二是</w:t>
      </w:r>
      <w:r w:rsidRPr="003B7384">
        <w:rPr>
          <w:rFonts w:ascii="仿宋" w:eastAsia="仿宋" w:hAnsi="仿宋" w:cs="仿宋_GB2312" w:hint="eastAsia"/>
          <w:sz w:val="32"/>
          <w:szCs w:val="32"/>
        </w:rPr>
        <w:t>进一步提高园区建设水平及创新能力。鼓励各园区加强机械设备、信息化网络、农产品监测等现代农业要素投入，提高现代化水平；支持园区引进和创新应用国内外先进适用技术和农业最新科技成果，提高科技应用水平；支持园区培育和引进一批科技带动能力强的龙头企业和专业合作社等农业新型经营主体参与建设，提高示范带动水平。</w:t>
      </w:r>
    </w:p>
    <w:p w:rsidR="00A949CD" w:rsidRPr="003B7384" w:rsidRDefault="00D1664A" w:rsidP="003B7384">
      <w:pPr>
        <w:ind w:firstLineChars="200" w:firstLine="643"/>
        <w:rPr>
          <w:rFonts w:ascii="仿宋" w:eastAsia="仿宋" w:hAnsi="仿宋" w:cs="仿宋_GB2312"/>
          <w:sz w:val="32"/>
          <w:szCs w:val="32"/>
        </w:rPr>
      </w:pPr>
      <w:r w:rsidRPr="003B7384">
        <w:rPr>
          <w:rFonts w:ascii="仿宋" w:eastAsia="仿宋" w:hAnsi="仿宋" w:cs="仿宋" w:hint="eastAsia"/>
          <w:b/>
          <w:sz w:val="32"/>
          <w:szCs w:val="32"/>
        </w:rPr>
        <w:t>三是</w:t>
      </w:r>
      <w:r w:rsidRPr="003B7384">
        <w:rPr>
          <w:rFonts w:ascii="仿宋" w:eastAsia="仿宋" w:hAnsi="仿宋" w:cs="仿宋_GB2312" w:hint="eastAsia"/>
          <w:sz w:val="32"/>
          <w:szCs w:val="32"/>
        </w:rPr>
        <w:t>进一步强化园区人才队伍建设。加大园区人才引进和培育力度。鼓励园区经营主体与高等院校、科研院所建立合作关系，邀请相关领域专家进行技术指导和服务。加快构建以市场为导向、以企业为主体、产学研紧密结合的技术创新体系，推进高等院校、科研院所科技成果在农业产业园转化应用。</w:t>
      </w:r>
    </w:p>
    <w:p w:rsidR="00A949CD" w:rsidRPr="003B7384" w:rsidRDefault="00D1664A" w:rsidP="003B7384">
      <w:pPr>
        <w:ind w:firstLineChars="200" w:firstLine="643"/>
        <w:rPr>
          <w:rFonts w:ascii="仿宋" w:eastAsia="仿宋" w:hAnsi="仿宋" w:cs="仿宋_GB2312"/>
          <w:sz w:val="32"/>
          <w:szCs w:val="32"/>
        </w:rPr>
      </w:pPr>
      <w:r w:rsidRPr="003B7384">
        <w:rPr>
          <w:rFonts w:ascii="仿宋" w:eastAsia="仿宋" w:hAnsi="仿宋" w:cs="仿宋" w:hint="eastAsia"/>
          <w:b/>
          <w:sz w:val="32"/>
          <w:szCs w:val="32"/>
        </w:rPr>
        <w:t>四是</w:t>
      </w:r>
      <w:r w:rsidRPr="003B7384">
        <w:rPr>
          <w:rFonts w:ascii="仿宋" w:eastAsia="仿宋" w:hAnsi="仿宋" w:cs="仿宋_GB2312" w:hint="eastAsia"/>
          <w:sz w:val="32"/>
          <w:szCs w:val="32"/>
        </w:rPr>
        <w:t>进一步加强部门联动。引导农业农村部门充分发挥职能，主动加强与财政、发改、自然资源、水利等涉农部门的沟通和协调，积极争取多方政策资金支持，形成部门联动，</w:t>
      </w:r>
      <w:r w:rsidRPr="003B7384">
        <w:rPr>
          <w:rFonts w:ascii="仿宋" w:eastAsia="仿宋" w:hAnsi="仿宋" w:cs="仿宋_GB2312" w:hint="eastAsia"/>
          <w:sz w:val="32"/>
          <w:szCs w:val="32"/>
        </w:rPr>
        <w:lastRenderedPageBreak/>
        <w:t xml:space="preserve">为园区发展创造有利条件。 </w:t>
      </w:r>
    </w:p>
    <w:p w:rsidR="00A949CD" w:rsidRPr="003B7384" w:rsidRDefault="00D1664A" w:rsidP="003B7384">
      <w:pPr>
        <w:pStyle w:val="2"/>
        <w:ind w:leftChars="0" w:left="0" w:firstLine="643"/>
        <w:rPr>
          <w:rFonts w:ascii="仿宋" w:eastAsia="仿宋" w:hAnsi="仿宋" w:cs="仿宋_GB2312"/>
          <w:sz w:val="32"/>
          <w:szCs w:val="32"/>
        </w:rPr>
      </w:pPr>
      <w:r w:rsidRPr="003B7384">
        <w:rPr>
          <w:rFonts w:ascii="仿宋" w:eastAsia="仿宋" w:hAnsi="仿宋" w:cs="仿宋_GB2312" w:hint="eastAsia"/>
          <w:b/>
          <w:bCs/>
          <w:sz w:val="32"/>
          <w:szCs w:val="32"/>
        </w:rPr>
        <w:t>五是</w:t>
      </w:r>
      <w:r w:rsidRPr="003B7384">
        <w:rPr>
          <w:rFonts w:ascii="仿宋" w:eastAsia="仿宋" w:hAnsi="仿宋" w:cs="仿宋_GB2312" w:hint="eastAsia"/>
          <w:sz w:val="32"/>
          <w:szCs w:val="32"/>
        </w:rPr>
        <w:t>指导不同类别和层级的农产品品牌找准定位，把重点农产品企业的重点产品，特别是技术含量高、市场容量大的产品，优先列入农业品牌创建申报，深入挖掘品牌资源潜力，丰富品牌内涵，打造具有市场竞争力的农业品牌，培育名牌产品，提高上饶市农产品知名度和市场竞争能力。</w:t>
      </w:r>
    </w:p>
    <w:p w:rsidR="00A949CD" w:rsidRPr="003B7384" w:rsidRDefault="00D1664A" w:rsidP="003B7384">
      <w:pPr>
        <w:pStyle w:val="2"/>
        <w:ind w:leftChars="0" w:left="0" w:firstLine="643"/>
        <w:rPr>
          <w:rFonts w:ascii="仿宋" w:eastAsia="仿宋" w:hAnsi="仿宋" w:cs="仿宋_GB2312"/>
          <w:sz w:val="32"/>
          <w:szCs w:val="32"/>
        </w:rPr>
      </w:pPr>
      <w:r w:rsidRPr="003B7384">
        <w:rPr>
          <w:rFonts w:ascii="仿宋" w:eastAsia="仿宋" w:hAnsi="仿宋" w:cs="仿宋_GB2312" w:hint="eastAsia"/>
          <w:b/>
          <w:bCs/>
          <w:sz w:val="32"/>
          <w:szCs w:val="32"/>
        </w:rPr>
        <w:t>六是</w:t>
      </w:r>
      <w:r w:rsidRPr="003B7384">
        <w:rPr>
          <w:rFonts w:ascii="仿宋" w:eastAsia="仿宋" w:hAnsi="仿宋" w:cs="仿宋_GB2312" w:hint="eastAsia"/>
          <w:sz w:val="32"/>
          <w:szCs w:val="32"/>
        </w:rPr>
        <w:t>积极发展多层次、多成份、多形式的龙头企业。继续帮扶龙头企业做好名优特色农产品及各类名牌产品申报服务工作，提高其产品品牌的知名度。重点扶持一批重点龙头企业，鼓励他们以资金、技术等形式，参与基地建设、生产加工和市场营销等方面的开发。重点打造一批农产品品牌，不断增强品牌带动力。</w:t>
      </w:r>
    </w:p>
    <w:p w:rsidR="00A949CD" w:rsidRPr="003B7384" w:rsidRDefault="00D1664A" w:rsidP="003B7384">
      <w:pPr>
        <w:pStyle w:val="2"/>
        <w:ind w:leftChars="0" w:left="0" w:firstLine="643"/>
        <w:rPr>
          <w:rFonts w:ascii="仿宋" w:eastAsia="仿宋" w:hAnsi="仿宋" w:cs="仿宋_GB2312"/>
          <w:sz w:val="32"/>
          <w:szCs w:val="32"/>
        </w:rPr>
      </w:pPr>
      <w:r w:rsidRPr="003B7384">
        <w:rPr>
          <w:rFonts w:ascii="仿宋" w:eastAsia="仿宋" w:hAnsi="仿宋" w:cs="仿宋_GB2312" w:hint="eastAsia"/>
          <w:b/>
          <w:bCs/>
          <w:sz w:val="32"/>
          <w:szCs w:val="32"/>
        </w:rPr>
        <w:t>七是</w:t>
      </w:r>
      <w:r w:rsidRPr="003B7384">
        <w:rPr>
          <w:rFonts w:ascii="仿宋" w:eastAsia="仿宋" w:hAnsi="仿宋" w:cs="仿宋_GB2312" w:hint="eastAsia"/>
          <w:sz w:val="32"/>
          <w:szCs w:val="32"/>
        </w:rPr>
        <w:t>坚持问题导向，以特色农产品优势区域为重点，加大宣传营销推广，扩大农产品公用品牌声誉，深入挖掘品牌资源潜力，丰富品牌内涵，不断拓展品牌外延，提升品牌价值，打造具有市场竞争力的</w:t>
      </w:r>
      <w:bookmarkStart w:id="0" w:name="_GoBack"/>
      <w:bookmarkEnd w:id="0"/>
      <w:r w:rsidRPr="003B7384">
        <w:rPr>
          <w:rFonts w:ascii="仿宋" w:eastAsia="仿宋" w:hAnsi="仿宋" w:cs="仿宋_GB2312" w:hint="eastAsia"/>
          <w:sz w:val="32"/>
          <w:szCs w:val="32"/>
        </w:rPr>
        <w:t>农产品公用品牌。坚持线上线下并重，通过全国大型农产品交易交流会等平台和展示展销中心、电商网络等渠道，加大农产品公用品牌的宣传与推广。</w:t>
      </w:r>
    </w:p>
    <w:p w:rsidR="00A949CD" w:rsidRPr="003B7384" w:rsidRDefault="00D1664A" w:rsidP="003B7384">
      <w:pPr>
        <w:ind w:firstLineChars="200" w:firstLine="640"/>
        <w:rPr>
          <w:rFonts w:ascii="仿宋" w:eastAsia="仿宋" w:hAnsi="仿宋" w:cs="仿宋_GB2312"/>
          <w:sz w:val="32"/>
          <w:szCs w:val="32"/>
        </w:rPr>
      </w:pPr>
      <w:r w:rsidRPr="003B7384">
        <w:rPr>
          <w:rFonts w:ascii="仿宋" w:eastAsia="仿宋" w:hAnsi="仿宋" w:cs="仿宋_GB2312" w:hint="eastAsia"/>
          <w:sz w:val="32"/>
          <w:szCs w:val="32"/>
        </w:rPr>
        <w:t>感谢您对</w:t>
      </w:r>
      <w:r w:rsidR="00AF49A4">
        <w:rPr>
          <w:rFonts w:ascii="仿宋" w:eastAsia="仿宋" w:hAnsi="仿宋" w:cs="仿宋_GB2312" w:hint="eastAsia"/>
          <w:sz w:val="32"/>
          <w:szCs w:val="32"/>
        </w:rPr>
        <w:t>上饶</w:t>
      </w:r>
      <w:r w:rsidRPr="003B7384">
        <w:rPr>
          <w:rFonts w:ascii="仿宋" w:eastAsia="仿宋" w:hAnsi="仿宋" w:cs="仿宋_GB2312" w:hint="eastAsia"/>
          <w:sz w:val="32"/>
          <w:szCs w:val="32"/>
        </w:rPr>
        <w:t>市农业农村工作的关心和支持，恳请今后继续关心支持“三农”工作，并多提宝贵意见和建议。</w:t>
      </w:r>
    </w:p>
    <w:p w:rsidR="00A949CD" w:rsidRPr="003B7384" w:rsidRDefault="003D2B32">
      <w:pPr>
        <w:pStyle w:val="2"/>
        <w:ind w:leftChars="0" w:left="0" w:firstLineChars="0" w:firstLine="0"/>
        <w:rPr>
          <w:rFonts w:ascii="仿宋" w:eastAsia="仿宋" w:hAnsi="仿宋" w:cs="仿宋_GB2312"/>
          <w:sz w:val="32"/>
          <w:szCs w:val="32"/>
        </w:rPr>
      </w:pPr>
    </w:p>
    <w:p w:rsidR="00A949CD" w:rsidRPr="003B7384" w:rsidRDefault="00D1664A" w:rsidP="003B7384">
      <w:pPr>
        <w:ind w:firstLineChars="1400" w:firstLine="4480"/>
        <w:rPr>
          <w:rFonts w:ascii="仿宋" w:eastAsia="仿宋" w:hAnsi="仿宋" w:cs="仿宋_GB2312"/>
          <w:sz w:val="32"/>
          <w:szCs w:val="32"/>
        </w:rPr>
      </w:pPr>
      <w:r w:rsidRPr="003B7384">
        <w:rPr>
          <w:rFonts w:ascii="仿宋" w:eastAsia="仿宋" w:hAnsi="仿宋" w:cs="仿宋_GB2312" w:hint="eastAsia"/>
          <w:sz w:val="32"/>
          <w:szCs w:val="32"/>
        </w:rPr>
        <w:lastRenderedPageBreak/>
        <w:t>上饶市农业农村局</w:t>
      </w:r>
    </w:p>
    <w:p w:rsidR="00A949CD" w:rsidRPr="003B7384" w:rsidRDefault="00D1664A">
      <w:pPr>
        <w:rPr>
          <w:rFonts w:ascii="仿宋" w:eastAsia="仿宋" w:hAnsi="仿宋" w:cs="仿宋_GB2312"/>
          <w:sz w:val="32"/>
          <w:szCs w:val="32"/>
        </w:rPr>
      </w:pPr>
      <w:r w:rsidRPr="003B7384">
        <w:rPr>
          <w:rFonts w:ascii="仿宋" w:eastAsia="仿宋" w:hAnsi="仿宋" w:cs="仿宋_GB2312" w:hint="eastAsia"/>
          <w:sz w:val="32"/>
          <w:szCs w:val="32"/>
        </w:rPr>
        <w:t xml:space="preserve">                             2022年6月13日</w:t>
      </w:r>
    </w:p>
    <w:p w:rsidR="00A949CD" w:rsidRDefault="003D2B32" w:rsidP="007504DB">
      <w:pPr>
        <w:pStyle w:val="2"/>
        <w:ind w:firstLine="640"/>
        <w:rPr>
          <w:rFonts w:ascii="仿宋_GB2312" w:eastAsia="仿宋_GB2312" w:hAnsi="仿宋_GB2312" w:cs="仿宋_GB2312"/>
          <w:sz w:val="32"/>
          <w:szCs w:val="32"/>
        </w:rPr>
      </w:pPr>
    </w:p>
    <w:p w:rsidR="00397654" w:rsidRPr="00397654" w:rsidRDefault="00397654" w:rsidP="00397654">
      <w:pPr>
        <w:pStyle w:val="2"/>
        <w:ind w:firstLine="640"/>
        <w:rPr>
          <w:rFonts w:ascii="仿宋_GB2312" w:eastAsia="仿宋_GB2312" w:hAnsi="仿宋_GB2312" w:cs="仿宋_GB2312" w:hint="eastAsia"/>
          <w:sz w:val="32"/>
          <w:szCs w:val="32"/>
        </w:rPr>
      </w:pPr>
      <w:r w:rsidRPr="00397654">
        <w:rPr>
          <w:rFonts w:ascii="仿宋_GB2312" w:eastAsia="仿宋_GB2312" w:hAnsi="仿宋_GB2312" w:cs="仿宋_GB2312" w:hint="eastAsia"/>
          <w:sz w:val="32"/>
          <w:szCs w:val="32"/>
        </w:rPr>
        <w:t>抄送：市政府督查室</w:t>
      </w:r>
    </w:p>
    <w:p w:rsidR="00397654" w:rsidRDefault="00397654" w:rsidP="00397654">
      <w:pPr>
        <w:pStyle w:val="2"/>
        <w:ind w:firstLine="640"/>
        <w:rPr>
          <w:rFonts w:ascii="仿宋_GB2312" w:eastAsia="仿宋_GB2312" w:hAnsi="仿宋_GB2312" w:cs="仿宋_GB2312" w:hint="eastAsia"/>
          <w:sz w:val="32"/>
          <w:szCs w:val="32"/>
        </w:rPr>
      </w:pPr>
      <w:r w:rsidRPr="00397654">
        <w:rPr>
          <w:rFonts w:ascii="仿宋_GB2312" w:eastAsia="仿宋_GB2312" w:hAnsi="仿宋_GB2312" w:cs="仿宋_GB2312" w:hint="eastAsia"/>
          <w:sz w:val="32"/>
          <w:szCs w:val="32"/>
        </w:rPr>
        <w:t>联系人（姓名、职务）：</w:t>
      </w:r>
      <w:r w:rsidRPr="00397654">
        <w:rPr>
          <w:rFonts w:ascii="仿宋_GB2312" w:eastAsia="仿宋_GB2312" w:hAnsi="仿宋_GB2312" w:cs="仿宋_GB2312" w:hint="eastAsia"/>
          <w:sz w:val="32"/>
          <w:szCs w:val="32"/>
        </w:rPr>
        <w:t>余志高</w:t>
      </w:r>
      <w:r>
        <w:rPr>
          <w:rFonts w:ascii="仿宋_GB2312" w:eastAsia="仿宋_GB2312" w:hAnsi="仿宋_GB2312" w:cs="仿宋_GB2312" w:hint="eastAsia"/>
          <w:sz w:val="32"/>
          <w:szCs w:val="32"/>
        </w:rPr>
        <w:t xml:space="preserve">  </w:t>
      </w:r>
      <w:r w:rsidRPr="00397654">
        <w:rPr>
          <w:rFonts w:ascii="仿宋_GB2312" w:eastAsia="仿宋_GB2312" w:hAnsi="仿宋_GB2312" w:cs="仿宋_GB2312" w:hint="eastAsia"/>
          <w:sz w:val="32"/>
          <w:szCs w:val="32"/>
        </w:rPr>
        <w:t xml:space="preserve">乡村产业发展与市场涉外科    </w:t>
      </w:r>
    </w:p>
    <w:p w:rsidR="00A949CD" w:rsidRDefault="00397654" w:rsidP="00397654">
      <w:pPr>
        <w:pStyle w:val="2"/>
        <w:ind w:firstLine="640"/>
        <w:rPr>
          <w:rFonts w:ascii="仿宋_GB2312" w:eastAsia="仿宋_GB2312" w:hAnsi="仿宋_GB2312" w:cs="仿宋_GB2312"/>
          <w:sz w:val="32"/>
          <w:szCs w:val="32"/>
        </w:rPr>
      </w:pPr>
      <w:r w:rsidRPr="00397654">
        <w:rPr>
          <w:rFonts w:ascii="仿宋_GB2312" w:eastAsia="仿宋_GB2312" w:hAnsi="仿宋_GB2312" w:cs="仿宋_GB2312" w:hint="eastAsia"/>
          <w:sz w:val="32"/>
          <w:szCs w:val="32"/>
        </w:rPr>
        <w:t>联系电话：</w:t>
      </w:r>
      <w:r w:rsidRPr="00397654">
        <w:rPr>
          <w:rFonts w:ascii="仿宋_GB2312" w:eastAsia="仿宋_GB2312" w:hAnsi="仿宋_GB2312" w:cs="仿宋_GB2312" w:hint="eastAsia"/>
          <w:sz w:val="32"/>
          <w:szCs w:val="32"/>
        </w:rPr>
        <w:t>15707075905</w:t>
      </w:r>
    </w:p>
    <w:sectPr w:rsidR="00A949CD" w:rsidSect="00A949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B32" w:rsidRDefault="003D2B32" w:rsidP="007504DB">
      <w:r>
        <w:separator/>
      </w:r>
    </w:p>
  </w:endnote>
  <w:endnote w:type="continuationSeparator" w:id="0">
    <w:p w:rsidR="003D2B32" w:rsidRDefault="003D2B32" w:rsidP="007504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B32" w:rsidRDefault="003D2B32" w:rsidP="007504DB">
      <w:r>
        <w:separator/>
      </w:r>
    </w:p>
  </w:footnote>
  <w:footnote w:type="continuationSeparator" w:id="0">
    <w:p w:rsidR="003D2B32" w:rsidRDefault="003D2B32" w:rsidP="007504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D27360"/>
    <w:multiLevelType w:val="singleLevel"/>
    <w:tmpl w:val="CFD27360"/>
    <w:lvl w:ilvl="0">
      <w:start w:val="1"/>
      <w:numFmt w:val="chineseCounting"/>
      <w:suff w:val="nothing"/>
      <w:lvlText w:val="%1、"/>
      <w:lvlJc w:val="left"/>
      <w:rPr>
        <w:rFonts w:hint="eastAsia"/>
      </w:rPr>
    </w:lvl>
  </w:abstractNum>
  <w:abstractNum w:abstractNumId="1">
    <w:nsid w:val="FF3BC465"/>
    <w:multiLevelType w:val="singleLevel"/>
    <w:tmpl w:val="FF3BC465"/>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B6F4DB8"/>
    <w:rsid w:val="001E3C69"/>
    <w:rsid w:val="00230E2B"/>
    <w:rsid w:val="004C62D1"/>
    <w:rsid w:val="00656869"/>
    <w:rsid w:val="00750E51"/>
    <w:rsid w:val="008B5848"/>
    <w:rsid w:val="00A949CD"/>
    <w:rsid w:val="00BA2092"/>
    <w:rsid w:val="1FF78CD5"/>
    <w:rsid w:val="26DF48A8"/>
    <w:rsid w:val="28ADDF89"/>
    <w:rsid w:val="2CBF7E7E"/>
    <w:rsid w:val="2E3D0A9E"/>
    <w:rsid w:val="366F1AA6"/>
    <w:rsid w:val="37DFE52A"/>
    <w:rsid w:val="3D7F3171"/>
    <w:rsid w:val="3EDF806D"/>
    <w:rsid w:val="3FFDEE8A"/>
    <w:rsid w:val="4BCF41F2"/>
    <w:rsid w:val="536DAF7B"/>
    <w:rsid w:val="53FEF249"/>
    <w:rsid w:val="577FE6F2"/>
    <w:rsid w:val="57EF7609"/>
    <w:rsid w:val="5AFFB0AC"/>
    <w:rsid w:val="5FB678E1"/>
    <w:rsid w:val="69AAE313"/>
    <w:rsid w:val="6B6F4DB8"/>
    <w:rsid w:val="6CFF29BA"/>
    <w:rsid w:val="6EEC7546"/>
    <w:rsid w:val="6F6B3189"/>
    <w:rsid w:val="6F6C28C7"/>
    <w:rsid w:val="6FD73545"/>
    <w:rsid w:val="6FE9C369"/>
    <w:rsid w:val="71D6FD96"/>
    <w:rsid w:val="73ADA9B6"/>
    <w:rsid w:val="753BEC4C"/>
    <w:rsid w:val="767739D4"/>
    <w:rsid w:val="76F77BD5"/>
    <w:rsid w:val="773EBA61"/>
    <w:rsid w:val="7761E5B8"/>
    <w:rsid w:val="77A20A4D"/>
    <w:rsid w:val="77B7D627"/>
    <w:rsid w:val="77F53CE2"/>
    <w:rsid w:val="79D709E3"/>
    <w:rsid w:val="7B234371"/>
    <w:rsid w:val="7BEDFE57"/>
    <w:rsid w:val="7C776E1C"/>
    <w:rsid w:val="7D7B5E00"/>
    <w:rsid w:val="7D7F692E"/>
    <w:rsid w:val="7DB567E8"/>
    <w:rsid w:val="7DB704E4"/>
    <w:rsid w:val="7DDBA7F9"/>
    <w:rsid w:val="7DE7955A"/>
    <w:rsid w:val="7DEDD27F"/>
    <w:rsid w:val="7E5FE078"/>
    <w:rsid w:val="7EBB8DD7"/>
    <w:rsid w:val="7ED99CE0"/>
    <w:rsid w:val="7EE6C62A"/>
    <w:rsid w:val="7F3F5FDC"/>
    <w:rsid w:val="7F73FD93"/>
    <w:rsid w:val="7F75F85D"/>
    <w:rsid w:val="7F7EB24A"/>
    <w:rsid w:val="7FB7D79C"/>
    <w:rsid w:val="7FCCE96F"/>
    <w:rsid w:val="7FEDC095"/>
    <w:rsid w:val="7FFE1092"/>
    <w:rsid w:val="85FF927F"/>
    <w:rsid w:val="97EECB8C"/>
    <w:rsid w:val="A772E4E7"/>
    <w:rsid w:val="A7FF4476"/>
    <w:rsid w:val="ADB86418"/>
    <w:rsid w:val="AEE2FD3B"/>
    <w:rsid w:val="AF7ECA06"/>
    <w:rsid w:val="B7FC3087"/>
    <w:rsid w:val="BA7FD978"/>
    <w:rsid w:val="BAA77AE8"/>
    <w:rsid w:val="BADF7451"/>
    <w:rsid w:val="BAF7791E"/>
    <w:rsid w:val="BB7E8239"/>
    <w:rsid w:val="BC8E38A9"/>
    <w:rsid w:val="BCE9973E"/>
    <w:rsid w:val="BDF1F9C4"/>
    <w:rsid w:val="BE4ED9A3"/>
    <w:rsid w:val="BFAF9197"/>
    <w:rsid w:val="BFF610F3"/>
    <w:rsid w:val="BFFAA7FB"/>
    <w:rsid w:val="BFFD125B"/>
    <w:rsid w:val="C79AC7B1"/>
    <w:rsid w:val="CE7E8AF8"/>
    <w:rsid w:val="CF7A0B69"/>
    <w:rsid w:val="CFD7A96D"/>
    <w:rsid w:val="D3F35899"/>
    <w:rsid w:val="D7870940"/>
    <w:rsid w:val="D7BC014D"/>
    <w:rsid w:val="D7D78EF9"/>
    <w:rsid w:val="D97EE806"/>
    <w:rsid w:val="D9CB6D06"/>
    <w:rsid w:val="DDA78C3A"/>
    <w:rsid w:val="DE6F06CA"/>
    <w:rsid w:val="DEF71911"/>
    <w:rsid w:val="DFDF0FFA"/>
    <w:rsid w:val="E4FFE990"/>
    <w:rsid w:val="EB6D3557"/>
    <w:rsid w:val="EBF2DD2D"/>
    <w:rsid w:val="EBFF4C0E"/>
    <w:rsid w:val="EEBC5DCE"/>
    <w:rsid w:val="EEF7C8F8"/>
    <w:rsid w:val="EFDFB2E0"/>
    <w:rsid w:val="EFF548C1"/>
    <w:rsid w:val="F37BF08F"/>
    <w:rsid w:val="F66EBA10"/>
    <w:rsid w:val="F7CD82C4"/>
    <w:rsid w:val="F7DFF7DC"/>
    <w:rsid w:val="F7EE63CE"/>
    <w:rsid w:val="F7F9B393"/>
    <w:rsid w:val="F7FF9001"/>
    <w:rsid w:val="F7FFD032"/>
    <w:rsid w:val="F7FFF9C2"/>
    <w:rsid w:val="F85A3DB3"/>
    <w:rsid w:val="F95E1CEC"/>
    <w:rsid w:val="FAE7E668"/>
    <w:rsid w:val="FB27736B"/>
    <w:rsid w:val="FB350CE3"/>
    <w:rsid w:val="FBFF3265"/>
    <w:rsid w:val="FC580D63"/>
    <w:rsid w:val="FD7F05F2"/>
    <w:rsid w:val="FDAEEC2E"/>
    <w:rsid w:val="FE5B4AD0"/>
    <w:rsid w:val="FF7BA414"/>
    <w:rsid w:val="FF7DFAE0"/>
    <w:rsid w:val="FFD4333A"/>
    <w:rsid w:val="FFD6C63B"/>
    <w:rsid w:val="FFDD9F5F"/>
    <w:rsid w:val="FFF79767"/>
    <w:rsid w:val="FFF80E70"/>
    <w:rsid w:val="FFFC8928"/>
    <w:rsid w:val="00397654"/>
    <w:rsid w:val="003B7384"/>
    <w:rsid w:val="003D2B32"/>
    <w:rsid w:val="007504DB"/>
    <w:rsid w:val="00765444"/>
    <w:rsid w:val="00AF49A4"/>
    <w:rsid w:val="00BB1741"/>
    <w:rsid w:val="00D166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A949CD"/>
    <w:pPr>
      <w:widowControl w:val="0"/>
      <w:jc w:val="both"/>
    </w:pPr>
    <w:rPr>
      <w:rFonts w:ascii="Calibri" w:hAnsi="Calibri" w:cs="宋体"/>
      <w:kern w:val="2"/>
      <w:sz w:val="21"/>
      <w:szCs w:val="21"/>
    </w:rPr>
  </w:style>
  <w:style w:type="paragraph" w:styleId="1">
    <w:name w:val="heading 1"/>
    <w:basedOn w:val="a"/>
    <w:next w:val="a"/>
    <w:qFormat/>
    <w:rsid w:val="00A949CD"/>
    <w:pPr>
      <w:spacing w:beforeAutospacing="1" w:afterAutospacing="1"/>
      <w:jc w:val="left"/>
      <w:outlineLvl w:val="0"/>
    </w:pPr>
    <w:rPr>
      <w:rFonts w:ascii="宋体" w:hAnsi="宋体" w:cs="Times New Roman" w:hint="eastAsia"/>
      <w:b/>
      <w:kern w:val="44"/>
      <w:sz w:val="48"/>
      <w:szCs w:val="48"/>
    </w:rPr>
  </w:style>
  <w:style w:type="paragraph" w:styleId="20">
    <w:name w:val="heading 2"/>
    <w:basedOn w:val="a"/>
    <w:next w:val="a"/>
    <w:semiHidden/>
    <w:unhideWhenUsed/>
    <w:qFormat/>
    <w:rsid w:val="00A949CD"/>
    <w:pPr>
      <w:keepNext/>
      <w:keepLines/>
      <w:spacing w:line="560" w:lineRule="exact"/>
      <w:outlineLvl w:val="1"/>
    </w:pPr>
    <w:rPr>
      <w:rFonts w:ascii="Arial" w:eastAsia="黑体" w:hAnsi="Arial"/>
    </w:rPr>
  </w:style>
  <w:style w:type="paragraph" w:styleId="3">
    <w:name w:val="heading 3"/>
    <w:basedOn w:val="a"/>
    <w:next w:val="a"/>
    <w:semiHidden/>
    <w:unhideWhenUsed/>
    <w:qFormat/>
    <w:rsid w:val="00A949CD"/>
    <w:pPr>
      <w:keepNext/>
      <w:keepLines/>
      <w:spacing w:line="560" w:lineRule="exact"/>
      <w:outlineLvl w:val="2"/>
    </w:pPr>
    <w:rPr>
      <w:rFonts w:asciiTheme="minorHAnsi" w:eastAsia="楷体_GB2312" w:hAnsiTheme="min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A949CD"/>
    <w:pPr>
      <w:ind w:firstLineChars="200" w:firstLine="420"/>
    </w:pPr>
  </w:style>
  <w:style w:type="paragraph" w:styleId="a3">
    <w:name w:val="Body Text Indent"/>
    <w:basedOn w:val="a"/>
    <w:qFormat/>
    <w:rsid w:val="00A949CD"/>
    <w:pPr>
      <w:spacing w:after="120"/>
      <w:ind w:leftChars="200" w:left="420"/>
    </w:pPr>
    <w:rPr>
      <w:rFonts w:ascii="Times New Roman" w:hAnsi="Times New Roman"/>
    </w:rPr>
  </w:style>
  <w:style w:type="paragraph" w:styleId="a4">
    <w:name w:val="footer"/>
    <w:basedOn w:val="a"/>
    <w:link w:val="Char"/>
    <w:qFormat/>
    <w:rsid w:val="00A949CD"/>
    <w:pPr>
      <w:tabs>
        <w:tab w:val="center" w:pos="4153"/>
        <w:tab w:val="right" w:pos="8306"/>
      </w:tabs>
      <w:snapToGrid w:val="0"/>
      <w:jc w:val="left"/>
    </w:pPr>
    <w:rPr>
      <w:sz w:val="18"/>
      <w:szCs w:val="18"/>
    </w:rPr>
  </w:style>
  <w:style w:type="paragraph" w:styleId="a5">
    <w:name w:val="header"/>
    <w:basedOn w:val="a"/>
    <w:link w:val="Char0"/>
    <w:qFormat/>
    <w:rsid w:val="00A949CD"/>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A949CD"/>
    <w:pPr>
      <w:spacing w:beforeAutospacing="1" w:afterAutospacing="1"/>
      <w:jc w:val="left"/>
    </w:pPr>
    <w:rPr>
      <w:rFonts w:cs="Times New Roman"/>
      <w:kern w:val="0"/>
      <w:sz w:val="24"/>
    </w:rPr>
  </w:style>
  <w:style w:type="character" w:styleId="a7">
    <w:name w:val="Strong"/>
    <w:basedOn w:val="a0"/>
    <w:qFormat/>
    <w:rsid w:val="00A949CD"/>
    <w:rPr>
      <w:b/>
    </w:rPr>
  </w:style>
  <w:style w:type="character" w:styleId="a8">
    <w:name w:val="Hyperlink"/>
    <w:basedOn w:val="a0"/>
    <w:qFormat/>
    <w:rsid w:val="00A949CD"/>
    <w:rPr>
      <w:color w:val="0000FF"/>
      <w:u w:val="single"/>
    </w:rPr>
  </w:style>
  <w:style w:type="paragraph" w:customStyle="1" w:styleId="10">
    <w:name w:val="样式1"/>
    <w:basedOn w:val="a"/>
    <w:qFormat/>
    <w:rsid w:val="00A949CD"/>
    <w:pPr>
      <w:topLinePunct/>
      <w:spacing w:line="572" w:lineRule="exact"/>
      <w:ind w:firstLineChars="200" w:firstLine="420"/>
    </w:pPr>
    <w:rPr>
      <w:rFonts w:asciiTheme="minorHAnsi" w:eastAsia="仿宋_GB2312" w:hAnsiTheme="minorHAnsi"/>
      <w:sz w:val="32"/>
    </w:rPr>
  </w:style>
  <w:style w:type="character" w:customStyle="1" w:styleId="Char0">
    <w:name w:val="页眉 Char"/>
    <w:basedOn w:val="a0"/>
    <w:link w:val="a5"/>
    <w:qFormat/>
    <w:rsid w:val="00A949CD"/>
    <w:rPr>
      <w:rFonts w:ascii="Calibri" w:hAnsi="Calibri" w:cs="宋体"/>
      <w:kern w:val="2"/>
      <w:sz w:val="18"/>
      <w:szCs w:val="18"/>
    </w:rPr>
  </w:style>
  <w:style w:type="character" w:customStyle="1" w:styleId="Char">
    <w:name w:val="页脚 Char"/>
    <w:basedOn w:val="a0"/>
    <w:link w:val="a4"/>
    <w:qFormat/>
    <w:rsid w:val="00A949CD"/>
    <w:rPr>
      <w:rFonts w:ascii="Calibri" w:hAnsi="Calibri" w:cs="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398</Words>
  <Characters>2271</Characters>
  <Application>Microsoft Office Word</Application>
  <DocSecurity>0</DocSecurity>
  <Lines>18</Lines>
  <Paragraphs>5</Paragraphs>
  <ScaleCrop>false</ScaleCrop>
  <Company>Micorosoft</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史志伟</dc:creator>
  <cp:lastModifiedBy>上饶市农业局收发员</cp:lastModifiedBy>
  <cp:revision>6</cp:revision>
  <dcterms:created xsi:type="dcterms:W3CDTF">2022-06-21T00:34:00Z</dcterms:created>
  <dcterms:modified xsi:type="dcterms:W3CDTF">2022-09-26T09:20:00Z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