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F14F2C">
      <w:pP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</w:pPr>
    </w:p>
    <w:p w:rsidR="00F14F2C" w:rsidRDefault="00615223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农业农村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(</w:t>
      </w:r>
      <w:r>
        <w:rPr>
          <w:rFonts w:ascii="Times New Roman" w:eastAsia="黑体" w:hAnsi="Times New Roman" w:cs="Times New Roman"/>
          <w:sz w:val="32"/>
          <w:szCs w:val="21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615223" w:rsidP="00EF46A9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饶农</w:t>
      </w:r>
      <w:r w:rsidR="00EF46A9">
        <w:rPr>
          <w:rFonts w:ascii="Times New Roman" w:eastAsia="仿宋_GB2312" w:hAnsi="Times New Roman" w:cs="Times New Roman" w:hint="eastAsia"/>
          <w:sz w:val="32"/>
          <w:szCs w:val="32"/>
        </w:rPr>
        <w:t>提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 w:rsidR="00EF46A9">
        <w:rPr>
          <w:rFonts w:ascii="Times New Roman" w:eastAsia="仿宋_GB2312" w:hAnsi="Times New Roman" w:cs="Times New Roman" w:hint="eastAsia"/>
          <w:sz w:val="32"/>
          <w:szCs w:val="32"/>
        </w:rPr>
        <w:t>32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F14F2C" w:rsidRDefault="00615223" w:rsidP="00EF46A9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</w:p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615223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关于市政协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五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届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二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次会议</w:t>
      </w:r>
    </w:p>
    <w:p w:rsidR="00F14F2C" w:rsidRDefault="00615223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第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269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号提案的答复</w:t>
      </w:r>
    </w:p>
    <w:p w:rsidR="00F14F2C" w:rsidRDefault="00F14F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4F2C" w:rsidRDefault="00615223">
      <w:pPr>
        <w:rPr>
          <w:rFonts w:ascii="华文楷体" w:eastAsia="华文楷体" w:hAnsi="华文楷体" w:cs="华文楷体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>郑琳清</w:t>
      </w:r>
      <w:r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>委员</w:t>
      </w:r>
      <w:r>
        <w:rPr>
          <w:rFonts w:ascii="华文楷体" w:eastAsia="华文楷体" w:hAnsi="华文楷体" w:cs="华文楷体" w:hint="eastAsia"/>
          <w:sz w:val="32"/>
          <w:szCs w:val="32"/>
        </w:rPr>
        <w:t>：</w:t>
      </w:r>
    </w:p>
    <w:p w:rsidR="00F14F2C" w:rsidRDefault="00615223" w:rsidP="00EF46A9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您</w:t>
      </w:r>
      <w:r>
        <w:rPr>
          <w:rFonts w:ascii="Times New Roman" w:eastAsia="仿宋_GB2312" w:hAnsi="Times New Roman" w:cs="Times New Roman"/>
          <w:sz w:val="32"/>
          <w:szCs w:val="32"/>
        </w:rPr>
        <w:t>在市政协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sz w:val="32"/>
          <w:szCs w:val="32"/>
        </w:rPr>
        <w:t>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次会议提出的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bookmarkStart w:id="0" w:name="AY"/>
      <w:r>
        <w:rPr>
          <w:rFonts w:ascii="Times New Roman" w:eastAsia="仿宋_GB2312" w:hAnsi="Times New Roman" w:cs="Times New Roman" w:hint="eastAsia"/>
          <w:sz w:val="32"/>
          <w:szCs w:val="32"/>
        </w:rPr>
        <w:t>关于加强秀美乡村建设的建议</w:t>
      </w:r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》（第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269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号）收悉。根据市政府办公室要求，该提案由我局主办，市自然资源局协办。我们均高度重视，在办理过程中通过电话方式与您</w:t>
      </w:r>
      <w:r>
        <w:rPr>
          <w:rFonts w:ascii="Times New Roman" w:eastAsia="仿宋_GB2312" w:hAnsi="Times New Roman" w:cs="Times New Roman"/>
          <w:sz w:val="32"/>
          <w:szCs w:val="32"/>
        </w:rPr>
        <w:t>进行了积极沟通。现根据我局与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协办单位</w:t>
      </w:r>
      <w:r>
        <w:rPr>
          <w:rFonts w:ascii="Times New Roman" w:eastAsia="仿宋_GB2312" w:hAnsi="Times New Roman" w:cs="Times New Roman"/>
          <w:sz w:val="32"/>
          <w:szCs w:val="32"/>
        </w:rPr>
        <w:t>承办情况向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答复如下：</w:t>
      </w:r>
    </w:p>
    <w:p w:rsidR="00F14F2C" w:rsidRDefault="00615223" w:rsidP="00EF46A9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一、基本情况</w:t>
      </w:r>
    </w:p>
    <w:p w:rsidR="00F14F2C" w:rsidRDefault="00615223" w:rsidP="00EF46A9">
      <w:pPr>
        <w:spacing w:line="580" w:lineRule="exact"/>
        <w:ind w:firstLineChars="200" w:firstLine="647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近年来，我市围绕“整洁美丽、和谐宜居”的目标</w:t>
      </w:r>
      <w:r>
        <w:rPr>
          <w:rFonts w:ascii="仿宋" w:eastAsia="仿宋" w:hAnsi="仿宋" w:cs="仿宋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高质量、更加宜居、更具活力、更可持续</w:t>
      </w:r>
      <w:r>
        <w:rPr>
          <w:rFonts w:ascii="仿宋" w:eastAsia="仿宋" w:hAnsi="仿宋" w:cs="仿宋" w:hint="eastAsia"/>
          <w:sz w:val="32"/>
          <w:szCs w:val="32"/>
        </w:rPr>
        <w:t>”的要求，扎</w:t>
      </w:r>
      <w:r>
        <w:rPr>
          <w:rFonts w:ascii="仿宋" w:eastAsia="仿宋" w:hAnsi="仿宋" w:cs="仿宋" w:hint="eastAsia"/>
          <w:sz w:val="32"/>
          <w:szCs w:val="32"/>
        </w:rPr>
        <w:t>实</w:t>
      </w:r>
      <w:r>
        <w:rPr>
          <w:rFonts w:ascii="仿宋" w:eastAsia="仿宋" w:hAnsi="仿宋" w:cs="仿宋" w:hint="eastAsia"/>
          <w:sz w:val="32"/>
          <w:szCs w:val="32"/>
        </w:rPr>
        <w:t>开展</w:t>
      </w:r>
      <w:r>
        <w:rPr>
          <w:rFonts w:ascii="仿宋" w:eastAsia="仿宋" w:hAnsi="仿宋" w:cs="仿宋" w:hint="eastAsia"/>
          <w:sz w:val="32"/>
          <w:szCs w:val="32"/>
        </w:rPr>
        <w:t>秀美乡村建设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，农村面貌焕然一新，人居环境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大改善，农民群众的获得感、幸福感有了大幅提升。</w:t>
      </w:r>
    </w:p>
    <w:p w:rsidR="00F14F2C" w:rsidRDefault="00615223" w:rsidP="00EF46A9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二、主要做法</w:t>
      </w:r>
    </w:p>
    <w:p w:rsidR="00F14F2C" w:rsidRDefault="00615223" w:rsidP="00EF46A9">
      <w:pPr>
        <w:spacing w:line="600" w:lineRule="exact"/>
        <w:ind w:firstLineChars="200" w:firstLine="649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bookmarkStart w:id="1" w:name="OLE_LINK5"/>
      <w:r>
        <w:rPr>
          <w:rFonts w:ascii="仿宋" w:eastAsia="仿宋" w:hAnsi="仿宋" w:cs="仿宋" w:hint="eastAsia"/>
          <w:b/>
          <w:bCs/>
          <w:sz w:val="32"/>
          <w:szCs w:val="32"/>
        </w:rPr>
        <w:t>坚持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规划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引领</w:t>
      </w:r>
      <w:bookmarkEnd w:id="1"/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首先是加强总体谋划。</w:t>
      </w:r>
      <w:r>
        <w:rPr>
          <w:rFonts w:ascii="Times New Roman" w:eastAsia="仿宋_GB2312" w:hAnsi="Times New Roman" w:cs="Times New Roman"/>
          <w:sz w:val="32"/>
          <w:szCs w:val="32"/>
        </w:rPr>
        <w:t>坚持把规划作为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秀美乡村建设</w:t>
      </w:r>
      <w:r>
        <w:rPr>
          <w:rFonts w:ascii="Times New Roman" w:eastAsia="仿宋_GB2312" w:hAnsi="Times New Roman" w:cs="Times New Roman"/>
          <w:sz w:val="32"/>
          <w:szCs w:val="32"/>
        </w:rPr>
        <w:t>的第一道工序，实行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先规划、后建设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，有序推进整治工作。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先后</w:t>
      </w:r>
      <w:r>
        <w:rPr>
          <w:rFonts w:ascii="Times New Roman" w:eastAsia="仿宋_GB2312" w:hAnsi="Times New Roman" w:cs="Times New Roman"/>
          <w:sz w:val="32"/>
          <w:szCs w:val="32"/>
        </w:rPr>
        <w:t>制定出台了《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上饶</w:t>
      </w:r>
      <w:r>
        <w:rPr>
          <w:rFonts w:ascii="Times New Roman" w:eastAsia="仿宋_GB2312" w:hAnsi="Times New Roman" w:cs="Times New Roman"/>
          <w:sz w:val="32"/>
          <w:szCs w:val="32"/>
        </w:rPr>
        <w:t>市农村人居环境整治三年行动实施方案》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上饶市秀美乡村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建设实施方案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及未来五年工作指引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》《关于“推进乡村建设和农村人居环境整治”重点民生项目实施方案》《上饶市农村人居环境整治提升五年行动实施方案》《上饶市“十四五”农村厕所革命实施方案》等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一系列方案意见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县（市、区）</w:t>
      </w:r>
      <w:r>
        <w:rPr>
          <w:rFonts w:ascii="Times New Roman" w:eastAsia="仿宋_GB2312" w:hAnsi="Times New Roman" w:cs="Times New Roman"/>
          <w:sz w:val="32"/>
          <w:szCs w:val="32"/>
        </w:rPr>
        <w:t>结合实际分别制定本区域实施方案，项目化、事项化、清单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化确定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秀美乡村建设和</w:t>
      </w:r>
      <w:r>
        <w:rPr>
          <w:rFonts w:ascii="Times New Roman" w:eastAsia="仿宋_GB2312" w:hAnsi="Times New Roman" w:cs="Times New Roman"/>
          <w:sz w:val="32"/>
          <w:szCs w:val="32"/>
        </w:rPr>
        <w:t>农村人居环境整治目标任务。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其次是抓好村庄规划编制。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在上一轮全面完成新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农村建设四年行动规划、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村庄布局规划、村庄整治规划的基础上，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以县（市、区）域为单位，以自然村为单元，按照集聚提升类、城郊融合类、特色保护类、搬迁撤并类、看不准类等五种村庄类型进行分类，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年启动了新一轮国土空间布局规划，在全市选择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个县、每个县选择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个村作为省级“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1+50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”村庄规划编制试点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年底，全部通过省自然资源厅专家组验收评审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/>
        </w:rPr>
        <w:t>同步完成</w:t>
      </w:r>
      <w:r>
        <w:rPr>
          <w:rFonts w:ascii="仿宋" w:eastAsia="仿宋" w:hAnsi="仿宋" w:cs="仿宋" w:hint="eastAsia"/>
          <w:sz w:val="32"/>
          <w:szCs w:val="32"/>
          <w:lang/>
        </w:rPr>
        <w:t>了</w:t>
      </w:r>
      <w:r>
        <w:rPr>
          <w:rFonts w:ascii="仿宋" w:eastAsia="仿宋" w:hAnsi="仿宋" w:cs="仿宋" w:hint="eastAsia"/>
          <w:sz w:val="32"/>
          <w:szCs w:val="32"/>
          <w:lang/>
        </w:rPr>
        <w:t>36</w:t>
      </w:r>
      <w:r>
        <w:rPr>
          <w:rFonts w:ascii="仿宋" w:eastAsia="仿宋" w:hAnsi="仿宋" w:cs="仿宋" w:hint="eastAsia"/>
          <w:sz w:val="32"/>
          <w:szCs w:val="32"/>
          <w:lang/>
        </w:rPr>
        <w:t>个市级村庄规划编制试点，</w:t>
      </w:r>
      <w:r>
        <w:rPr>
          <w:rFonts w:ascii="仿宋" w:eastAsia="仿宋" w:hAnsi="仿宋" w:cs="仿宋" w:hint="eastAsia"/>
          <w:sz w:val="32"/>
          <w:szCs w:val="32"/>
          <w:lang/>
        </w:rPr>
        <w:t>2022</w:t>
      </w:r>
      <w:r>
        <w:rPr>
          <w:rFonts w:ascii="仿宋" w:eastAsia="仿宋" w:hAnsi="仿宋" w:cs="仿宋" w:hint="eastAsia"/>
          <w:sz w:val="32"/>
          <w:szCs w:val="32"/>
          <w:lang/>
        </w:rPr>
        <w:t>年实施的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500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多个“多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规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合一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”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实用性村庄规划编制工作正在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有序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推进。</w:t>
      </w:r>
    </w:p>
    <w:p w:rsidR="00F14F2C" w:rsidRDefault="00615223" w:rsidP="00EF46A9">
      <w:pPr>
        <w:spacing w:line="600" w:lineRule="exact"/>
        <w:ind w:firstLineChars="200" w:firstLine="649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（二）坚持农民主体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农民是秀美乡村建设的主体，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我们始终坚持</w:t>
      </w:r>
      <w:r>
        <w:rPr>
          <w:rFonts w:ascii="Times New Roman" w:eastAsia="仿宋_GB2312" w:hAnsi="Times New Roman" w:cs="仿宋_GB2312" w:hint="eastAsia"/>
          <w:sz w:val="32"/>
          <w:szCs w:val="32"/>
        </w:rPr>
        <w:t>政府主导、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农民主体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的原则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充分调动农民积极性。在推进秀美乡村建设过程中，各地相继成立了村民理事会和新农村建设促进会，大家的事大家议，秀美乡村建与不建、怎么建、建成什么样，由群众说了算。同时，积极鼓励农民自筹和社会支持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2017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年实施秀美乡村</w:t>
      </w:r>
      <w:r>
        <w:rPr>
          <w:rFonts w:ascii="Times New Roman" w:eastAsia="仿宋_GB2312" w:hAnsi="Times New Roman" w:cs="仿宋_GB2312" w:hint="eastAsia"/>
          <w:sz w:val="32"/>
          <w:szCs w:val="32"/>
        </w:rPr>
        <w:t>建设“扫一遍”工程以来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，全市社会捐赠及农民自筹资金达</w:t>
      </w:r>
      <w:r>
        <w:rPr>
          <w:rFonts w:ascii="Times New Roman" w:eastAsia="仿宋_GB2312" w:hAnsi="Times New Roman" w:cs="仿宋_GB2312" w:hint="eastAsia"/>
          <w:sz w:val="32"/>
          <w:szCs w:val="32"/>
        </w:rPr>
        <w:t>37.89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亿元。鄱阳县谢家滩镇杨塘村在广东经商的吴守华、吴光华两兄弟出资</w:t>
      </w:r>
      <w:r>
        <w:rPr>
          <w:rFonts w:ascii="Times New Roman" w:eastAsia="仿宋_GB2312" w:hAnsi="Times New Roman" w:cs="仿宋_GB2312" w:hint="eastAsia"/>
          <w:sz w:val="32"/>
          <w:szCs w:val="32"/>
        </w:rPr>
        <w:t>308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万元支持家乡建设秀美乡村；广丰区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年度秀美乡村布点以来，已收到农民自筹和乡贤捐资</w:t>
      </w:r>
      <w:r>
        <w:rPr>
          <w:rFonts w:ascii="Times New Roman" w:eastAsia="仿宋_GB2312" w:hAnsi="Times New Roman" w:cs="仿宋_GB2312" w:hint="eastAsia"/>
          <w:sz w:val="32"/>
          <w:szCs w:val="32"/>
        </w:rPr>
        <w:t>2.0</w:t>
      </w:r>
      <w:bookmarkStart w:id="2" w:name="_GoBack"/>
      <w:bookmarkEnd w:id="2"/>
      <w:r>
        <w:rPr>
          <w:rFonts w:ascii="Times New Roman" w:eastAsia="仿宋_GB2312" w:hAnsi="Times New Roman" w:cs="仿宋_GB2312" w:hint="eastAsia"/>
          <w:sz w:val="32"/>
          <w:szCs w:val="32"/>
        </w:rPr>
        <w:t>23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亿元。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通过“众筹”，调动了群众的积极性，激发了群众的参与感，有效破解了“干部在干、群众在看”的问题。</w:t>
      </w:r>
    </w:p>
    <w:p w:rsidR="00F14F2C" w:rsidRDefault="00615223" w:rsidP="00EF46A9">
      <w:pPr>
        <w:pStyle w:val="a6"/>
        <w:widowControl/>
        <w:spacing w:before="0" w:beforeAutospacing="0" w:after="0" w:afterAutospacing="0" w:line="620" w:lineRule="exact"/>
        <w:ind w:firstLineChars="200" w:firstLine="649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kern w:val="2"/>
          <w:sz w:val="32"/>
          <w:szCs w:val="32"/>
        </w:rPr>
        <w:t>（三）坚持建管并重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2019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8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月份，按照有制度、有标准、有队伍、有经费、有督查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、有考核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六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有”要求，市县乡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村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各级都制定出台了“五定包干”（定管护范围、定管护标准、定管护责任、定管护经费、定考核奖惩，建立分级包干的工作体制机制）村庄环境长效管护机制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和管理办法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，并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按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每个行政村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每年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不低于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万元的标准由省、市、县、乡按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的比例落实长效管护资金，同时，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各地还积极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筹建“万村码上通”村庄环境长效管护平台，发动全社会力量关心关注村庄环境、监督指导管护工作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，实现了长效管护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lastRenderedPageBreak/>
        <w:t>制度化、规范化、全民化。</w:t>
      </w: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我市还把长效管护工作纳入到日常的督查，纳入到年度的考核，考评结果与长效管护资金分配、与县（市、区）创优评先直接</w:t>
      </w:r>
      <w:proofErr w:type="gramStart"/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挂勾</w:t>
      </w:r>
      <w:proofErr w:type="gramEnd"/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。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（四）</w:t>
      </w:r>
      <w:bookmarkStart w:id="3" w:name="OLE_LINK4"/>
      <w:bookmarkStart w:id="4" w:name="OLE_LINK3"/>
      <w:r>
        <w:rPr>
          <w:rFonts w:ascii="仿宋" w:eastAsia="仿宋" w:hAnsi="仿宋" w:cs="仿宋" w:hint="eastAsia"/>
          <w:b/>
          <w:bCs/>
          <w:sz w:val="32"/>
          <w:szCs w:val="32"/>
        </w:rPr>
        <w:t>培育发展后劲</w:t>
      </w:r>
      <w:bookmarkEnd w:id="3"/>
      <w:bookmarkEnd w:id="4"/>
      <w:r>
        <w:rPr>
          <w:rFonts w:ascii="仿宋" w:eastAsia="仿宋" w:hAnsi="仿宋" w:cs="仿宋" w:hint="eastAsia"/>
          <w:b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在抓好村庄整治的同时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各地因地制宜发展特色种养业</w:t>
      </w:r>
      <w:r>
        <w:rPr>
          <w:rFonts w:ascii="仿宋" w:eastAsia="仿宋" w:hAnsi="仿宋" w:cs="仿宋" w:hint="eastAsia"/>
          <w:sz w:val="32"/>
          <w:szCs w:val="32"/>
        </w:rPr>
        <w:t>和休闲农业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形成了</w:t>
      </w:r>
      <w:r>
        <w:rPr>
          <w:rFonts w:ascii="仿宋" w:eastAsia="仿宋" w:hAnsi="仿宋" w:cs="仿宋" w:hint="eastAsia"/>
          <w:sz w:val="32"/>
          <w:szCs w:val="32"/>
        </w:rPr>
        <w:t>广信油茶、广丰马家柚、玉山蔬菜、横峰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葛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、弋阳雷竹、铅山红芽芋、德兴中药材、婺源茶叶、万年贡米、余干水产、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鄱阳稻虾</w:t>
      </w:r>
      <w:r>
        <w:rPr>
          <w:rFonts w:ascii="仿宋" w:eastAsia="仿宋" w:hAnsi="仿宋" w:cs="仿宋" w:hint="eastAsia"/>
          <w:sz w:val="32"/>
          <w:szCs w:val="32"/>
        </w:rPr>
        <w:t>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特色</w:t>
      </w:r>
      <w:r>
        <w:rPr>
          <w:rFonts w:ascii="仿宋" w:eastAsia="仿宋" w:hAnsi="仿宋" w:cs="仿宋" w:hint="eastAsia"/>
          <w:sz w:val="32"/>
          <w:szCs w:val="32"/>
        </w:rPr>
        <w:t>产业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乡村旅游、“农家乐”、民宿经济、休闲观光农业、电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商经济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等特色产业</w:t>
      </w:r>
      <w:r>
        <w:rPr>
          <w:rFonts w:ascii="仿宋" w:eastAsia="仿宋" w:hAnsi="仿宋" w:cs="仿宋" w:hint="eastAsia"/>
          <w:sz w:val="32"/>
          <w:szCs w:val="32"/>
        </w:rPr>
        <w:t>如雨后春笋</w:t>
      </w:r>
      <w:r>
        <w:rPr>
          <w:rFonts w:ascii="仿宋" w:eastAsia="仿宋" w:hAnsi="仿宋" w:cs="仿宋" w:hint="eastAsia"/>
          <w:sz w:val="32"/>
          <w:szCs w:val="32"/>
        </w:rPr>
        <w:t>，涌现了一大批“夏布村”、“窗帘村”、“雨伞村”、“电商村”、“民宿村”等专业村。全市现有</w:t>
      </w:r>
      <w:r>
        <w:rPr>
          <w:rFonts w:ascii="仿宋" w:eastAsia="仿宋" w:hAnsi="仿宋" w:cs="仿宋" w:hint="eastAsia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以上乡村旅游点</w:t>
      </w:r>
      <w:r>
        <w:rPr>
          <w:rFonts w:ascii="仿宋" w:eastAsia="仿宋" w:hAnsi="仿宋" w:cs="仿宋" w:hint="eastAsia"/>
          <w:sz w:val="32"/>
          <w:szCs w:val="32"/>
        </w:rPr>
        <w:t>308</w:t>
      </w:r>
      <w:r>
        <w:rPr>
          <w:rFonts w:ascii="仿宋" w:eastAsia="仿宋" w:hAnsi="仿宋" w:cs="仿宋" w:hint="eastAsia"/>
          <w:sz w:val="32"/>
          <w:szCs w:val="32"/>
        </w:rPr>
        <w:t>家（其中：</w:t>
      </w:r>
      <w:r>
        <w:rPr>
          <w:rFonts w:ascii="仿宋" w:eastAsia="仿宋" w:hAnsi="仿宋" w:cs="仿宋"/>
          <w:sz w:val="32"/>
          <w:szCs w:val="32"/>
        </w:rPr>
        <w:t>5A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家、</w:t>
      </w:r>
      <w:r>
        <w:rPr>
          <w:rFonts w:ascii="仿宋" w:eastAsia="仿宋" w:hAnsi="仿宋" w:cs="仿宋"/>
          <w:sz w:val="32"/>
          <w:szCs w:val="32"/>
        </w:rPr>
        <w:t>4A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23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279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。婺源县依托景区</w:t>
      </w:r>
      <w:r>
        <w:rPr>
          <w:rFonts w:ascii="仿宋" w:eastAsia="仿宋" w:hAnsi="仿宋" w:cs="仿宋" w:hint="eastAsia"/>
          <w:sz w:val="32"/>
          <w:szCs w:val="32"/>
        </w:rPr>
        <w:t>背景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“民宿村”遍地开花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全县</w:t>
      </w:r>
      <w:r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余家精品民宿和</w:t>
      </w:r>
      <w:r>
        <w:rPr>
          <w:rFonts w:ascii="仿宋" w:eastAsia="仿宋" w:hAnsi="仿宋" w:cs="仿宋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多家以农家乐形态为主的大众民宿形成巨大的产业集群效应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撑起婺源旅游经济新亮点。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，以“四带动”（带动农户盘活闲置农房和宅基地、带动村民就近就业、带动地方农副产品销售、带动村集体经济发展）效应明显为基本标准，我市推荐了一批休闲乡村民宿参加全省“星级民宿”评定，并以婺源县为试点，通过试点示范，着力打造一批“组织凝聚力强、人气指数高、发展后劲足、人文特色明显、环境宜居宜业、重新焕发生机”的美丽活力村庄。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三、</w:t>
      </w:r>
      <w:r>
        <w:rPr>
          <w:rFonts w:ascii="宋体" w:hAnsi="宋体" w:cs="宋体" w:hint="eastAsia"/>
          <w:b/>
          <w:bCs/>
          <w:sz w:val="32"/>
          <w:szCs w:val="32"/>
        </w:rPr>
        <w:t>努力方向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虽然我市在秀美乡村建设和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农村人居环境整</w:t>
      </w:r>
      <w:r>
        <w:rPr>
          <w:rFonts w:ascii="Times New Roman" w:eastAsia="仿宋_GB2312" w:hAnsi="Times New Roman" w:cs="仿宋_GB2312" w:hint="eastAsia"/>
          <w:sz w:val="32"/>
          <w:szCs w:val="32"/>
        </w:rPr>
        <w:t>治方面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积极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，取得了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一定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成效，但还存在</w:t>
      </w:r>
      <w:r>
        <w:rPr>
          <w:rFonts w:ascii="Times New Roman" w:eastAsia="仿宋_GB2312" w:hAnsi="Times New Roman" w:cs="仿宋_GB2312" w:hint="eastAsia"/>
          <w:sz w:val="32"/>
          <w:szCs w:val="32"/>
        </w:rPr>
        <w:t>许多短板，需要不断完善机制，不断巩固提升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，比</w:t>
      </w:r>
      <w:r>
        <w:rPr>
          <w:rFonts w:ascii="Times New Roman" w:eastAsia="仿宋_GB2312" w:hAnsi="Times New Roman" w:cs="仿宋_GB2312" w:hint="eastAsia"/>
          <w:sz w:val="32"/>
          <w:szCs w:val="32"/>
        </w:rPr>
        <w:t>如：有些地方还存在重建设、轻管理现象，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很多村庄</w:t>
      </w:r>
      <w:r>
        <w:rPr>
          <w:rFonts w:ascii="Times New Roman" w:eastAsia="仿宋_GB2312" w:hAnsi="Times New Roman" w:cs="仿宋_GB2312" w:hint="eastAsia"/>
          <w:sz w:val="32"/>
          <w:szCs w:val="32"/>
        </w:rPr>
        <w:t>出现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“一年新模样、两年旧模样、三年不成样”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现象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，非常令人痛惜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；有的产业发展相对滞后，秀美乡村建设与管护后劲不足；农民主体作用发挥不够，等靠要的思想仍然存在。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结合您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的宝贵建议，下一步，我们将认真遵循乡村建设规律，突出乡村建设特点，以乡村建设行动和农村人居环境整治提升五年行动为抓手，继续在“建”上下功夫，进一步查漏补</w:t>
      </w:r>
      <w:r>
        <w:rPr>
          <w:rFonts w:ascii="Times New Roman" w:eastAsia="仿宋_GB2312" w:hAnsi="Times New Roman" w:cs="仿宋_GB2312" w:hint="eastAsia"/>
          <w:sz w:val="32"/>
          <w:szCs w:val="32"/>
        </w:rPr>
        <w:t>缺、巩固提升；注重在“管”上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努力实现</w:t>
      </w:r>
      <w:r>
        <w:rPr>
          <w:rFonts w:ascii="仿宋" w:eastAsia="仿宋" w:hAnsi="仿宋" w:cs="仿宋" w:hint="eastAsia"/>
          <w:sz w:val="32"/>
          <w:szCs w:val="32"/>
        </w:rPr>
        <w:t>“颜值”变“产值”、“风景”变“丰收”；着力在“评”上见真章，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真正让</w:t>
      </w:r>
      <w:r>
        <w:rPr>
          <w:rFonts w:ascii="Times New Roman" w:eastAsia="仿宋_GB2312" w:hAnsi="Times New Roman" w:cs="仿宋_GB2312" w:hint="eastAsia"/>
          <w:sz w:val="32"/>
          <w:szCs w:val="32"/>
        </w:rPr>
        <w:t>村庄环境由“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局部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全域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美”、由“一时美”变“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持久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一是在“建”上下功夫。</w:t>
      </w:r>
      <w:r>
        <w:rPr>
          <w:rFonts w:ascii="华文楷体" w:eastAsia="华文楷体" w:hAnsi="华文楷体" w:cs="华文楷体" w:hint="eastAsia"/>
          <w:sz w:val="32"/>
          <w:szCs w:val="32"/>
        </w:rPr>
        <w:t>坚持规划引领</w:t>
      </w:r>
      <w:r>
        <w:rPr>
          <w:rFonts w:ascii="仿宋" w:eastAsia="仿宋" w:hAnsi="仿宋" w:cs="仿宋" w:hint="eastAsia"/>
          <w:sz w:val="32"/>
          <w:szCs w:val="32"/>
        </w:rPr>
        <w:t>。在编制乡村规划时，注重听取当地群众意见、保护乡村肌理，根据区位条件、资源禀赋、发展基础和功能定位，因地制宜、因势利导，做到各美其美、防止千村一面。</w:t>
      </w:r>
      <w:r>
        <w:rPr>
          <w:rFonts w:ascii="华文楷体" w:eastAsia="华文楷体" w:hAnsi="华文楷体" w:cs="华文楷体" w:hint="eastAsia"/>
          <w:sz w:val="32"/>
          <w:szCs w:val="32"/>
        </w:rPr>
        <w:t>广泛宣传发动。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推动基层党组织履行好组织群众、宣传群众、凝聚群众、服务群众职责，发挥新乡贤示范带动作用，努力营造人人参与、人人共享的秀美乡村建设和人居环境整治的浓厚氛围。</w:t>
      </w:r>
      <w:r>
        <w:rPr>
          <w:rFonts w:ascii="华文楷体" w:eastAsia="华文楷体" w:hAnsi="华文楷体" w:cs="华文楷体" w:hint="eastAsia"/>
          <w:sz w:val="32"/>
          <w:szCs w:val="32"/>
        </w:rPr>
        <w:t>注重统筹推进。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把公共基础设施建设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和人居环境整治作为重点，在每年安排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1800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个左右村组（含省级点和县级自建</w:t>
      </w:r>
      <w:r>
        <w:rPr>
          <w:rFonts w:ascii="Times New Roman" w:eastAsia="仿宋_GB2312" w:hAnsi="Times New Roman" w:cs="仿宋_GB2312" w:hint="eastAsia"/>
          <w:sz w:val="32"/>
          <w:szCs w:val="32"/>
        </w:rPr>
        <w:t>点），进行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“七</w:t>
      </w:r>
      <w:r>
        <w:rPr>
          <w:rFonts w:ascii="Times New Roman" w:eastAsia="仿宋_GB2312" w:hAnsi="Times New Roman" w:cs="仿宋_GB2312" w:hint="eastAsia"/>
          <w:sz w:val="32"/>
          <w:szCs w:val="32"/>
        </w:rPr>
        <w:t>整一管护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”查漏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补改造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的基础上，</w:t>
      </w:r>
      <w:r>
        <w:rPr>
          <w:rFonts w:ascii="仿宋" w:eastAsia="仿宋" w:hAnsi="仿宋" w:cs="仿宋" w:hint="eastAsia"/>
          <w:sz w:val="32"/>
          <w:szCs w:val="32"/>
        </w:rPr>
        <w:t>加快补齐农村改厕和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污水治理方面的突出短板。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二是在“管”上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。严格按照“有制度、有标准、有队伍、有经费、有督查”要求落实“五定包干”长效机制，同时，注重加强对村民的教育引导，推动村规民约和“门前三包”责任制的落实；用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“万村码上通”村庄环境长效管护平台，提高网格化管理覆盖率和“码上通”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二维码普及率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，确保问题能及时得到发现、及时整改落实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，防止秀美乡村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一样新模样、两年旧模样、三年不成样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的现象出现。</w:t>
      </w: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三是在“评”上求提升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。以全市农村人居环境整治提升评估为契机，切实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督导</w:t>
      </w:r>
      <w:r>
        <w:rPr>
          <w:rFonts w:ascii="Times New Roman" w:eastAsia="仿宋_GB2312" w:hAnsi="Times New Roman" w:cs="仿宋_GB2312" w:hint="eastAsia"/>
          <w:sz w:val="32"/>
          <w:szCs w:val="32"/>
        </w:rPr>
        <w:t>考核“指挥棒”，继续把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秀美乡村建设与农村人居环境整治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工作纳入到日常</w:t>
      </w:r>
      <w:r>
        <w:rPr>
          <w:rFonts w:ascii="Times New Roman" w:eastAsia="仿宋_GB2312" w:hAnsi="Times New Roman" w:cs="仿宋_GB2312" w:hint="eastAsia"/>
          <w:sz w:val="32"/>
          <w:szCs w:val="32"/>
        </w:rPr>
        <w:t>评估</w:t>
      </w:r>
      <w:r>
        <w:rPr>
          <w:rFonts w:ascii="Times New Roman" w:eastAsia="仿宋_GB2312" w:hAnsi="Times New Roman" w:cs="仿宋_GB2312" w:hint="eastAsia"/>
          <w:sz w:val="32"/>
          <w:szCs w:val="32"/>
        </w:rPr>
        <w:t>和年度考核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的重要内容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以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有力、成效明显的予以通报表扬，并在长效管护资金分配上给予倾斜和奖励；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对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措施不力、问题较多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、排名靠后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</w:t>
      </w:r>
      <w:r>
        <w:rPr>
          <w:rFonts w:ascii="Times New Roman" w:eastAsia="仿宋_GB2312" w:hAnsi="Times New Roman" w:cs="仿宋_GB2312" w:hint="eastAsia"/>
          <w:sz w:val="32"/>
          <w:szCs w:val="32"/>
        </w:rPr>
        <w:t>县乡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，予以通报批评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、进行末位管理，并县乡主官作表态发言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，在长效管护资金分配上给予扣减处罚。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触动各地环境品质不断提升。</w:t>
      </w:r>
    </w:p>
    <w:p w:rsidR="00F14F2C" w:rsidRDefault="00F14F2C" w:rsidP="00EF46A9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F14F2C" w:rsidP="00EF46A9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615223" w:rsidP="00EF46A9">
      <w:pPr>
        <w:pBdr>
          <w:bottom w:val="single" w:sz="4" w:space="31" w:color="FFFFFF"/>
        </w:pBdr>
        <w:spacing w:line="620" w:lineRule="exact"/>
        <w:ind w:firstLineChars="200" w:firstLine="647"/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再次感谢您对我市秀美乡村建设的关心和支持，祝您身体健康、工作愉快。</w:t>
      </w:r>
    </w:p>
    <w:p w:rsidR="00F14F2C" w:rsidRDefault="00F14F2C">
      <w:pPr>
        <w:pStyle w:val="PlainText"/>
      </w:pPr>
    </w:p>
    <w:p w:rsidR="00F14F2C" w:rsidRDefault="00615223" w:rsidP="00EF46A9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以上答复，不妥之处，请批评指正</w:t>
      </w:r>
      <w:r>
        <w:rPr>
          <w:rFonts w:ascii="Times New Roman" w:eastAsia="仿宋_GB2312" w:hAnsi="Times New Roman" w:cs="仿宋_GB2312" w:hint="eastAsia"/>
          <w:sz w:val="32"/>
          <w:szCs w:val="32"/>
        </w:rPr>
        <w:t>!</w:t>
      </w:r>
    </w:p>
    <w:p w:rsidR="00F14F2C" w:rsidRDefault="00615223" w:rsidP="00EF46A9">
      <w:pPr>
        <w:widowControl/>
        <w:adjustRightInd w:val="0"/>
        <w:snapToGrid w:val="0"/>
        <w:spacing w:line="600" w:lineRule="exact"/>
        <w:ind w:firstLineChars="1200" w:firstLine="3880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上饶市农业农村局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(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单位印章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)    </w:t>
      </w:r>
    </w:p>
    <w:p w:rsidR="00F14F2C" w:rsidRDefault="00615223" w:rsidP="00EF46A9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              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6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>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p w:rsidR="00F14F2C" w:rsidRDefault="00F14F2C">
      <w:pPr>
        <w:pStyle w:val="PlainText"/>
      </w:pPr>
    </w:p>
    <w:p w:rsidR="00F14F2C" w:rsidRDefault="00F14F2C">
      <w:pPr>
        <w:pStyle w:val="PlainText"/>
      </w:pPr>
    </w:p>
    <w:p w:rsidR="00F14F2C" w:rsidRDefault="00F14F2C">
      <w:pPr>
        <w:pStyle w:val="PlainText"/>
      </w:pPr>
    </w:p>
    <w:p w:rsidR="00F14F2C" w:rsidRDefault="00F14F2C">
      <w:pPr>
        <w:pStyle w:val="PlainText"/>
      </w:pPr>
    </w:p>
    <w:p w:rsidR="00F14F2C" w:rsidRDefault="00F14F2C">
      <w:pPr>
        <w:pStyle w:val="PlainText"/>
      </w:pPr>
    </w:p>
    <w:p w:rsidR="00F14F2C" w:rsidRDefault="00615223">
      <w:pPr>
        <w:pStyle w:val="PlainText"/>
      </w:pPr>
      <w:r>
        <w:rPr>
          <w:rFonts w:ascii="Times New Roman" w:eastAsia="仿宋_GB2312" w:hAnsi="Times New Roman" w:cs="仿宋_GB2312" w:hint="eastAsia"/>
          <w:kern w:val="2"/>
          <w:sz w:val="32"/>
          <w:szCs w:val="32"/>
        </w:rPr>
        <w:t>、</w:t>
      </w:r>
    </w:p>
    <w:p w:rsidR="00F14F2C" w:rsidRDefault="00F14F2C">
      <w:pPr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F14F2C">
      <w:pPr>
        <w:rPr>
          <w:rFonts w:ascii="Times New Roman" w:eastAsia="仿宋_GB2312" w:hAnsi="Times New Roman" w:cs="仿宋_GB2312"/>
          <w:sz w:val="32"/>
          <w:szCs w:val="32"/>
        </w:rPr>
      </w:pPr>
    </w:p>
    <w:p w:rsidR="00F14F2C" w:rsidRDefault="0061522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送：市政府督查室</w:t>
      </w:r>
    </w:p>
    <w:p w:rsidR="00F14F2C" w:rsidRDefault="00615223" w:rsidP="00EF46A9">
      <w:pPr>
        <w:ind w:left="4527" w:hangingChars="1400" w:hanging="452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联系人（姓名、职务）：</w:t>
      </w:r>
      <w:r w:rsidR="00EF46A9"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周正有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新农村建设与农村社会事业促进科</w:t>
      </w:r>
    </w:p>
    <w:p w:rsidR="00F14F2C" w:rsidRDefault="0061522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13307031967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F14F2C" w:rsidSect="00F14F2C">
      <w:footerReference w:type="even" r:id="rId6"/>
      <w:footerReference w:type="default" r:id="rId7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223" w:rsidRDefault="00615223" w:rsidP="00F14F2C">
      <w:r>
        <w:separator/>
      </w:r>
    </w:p>
  </w:endnote>
  <w:endnote w:type="continuationSeparator" w:id="0">
    <w:p w:rsidR="00615223" w:rsidRDefault="00615223" w:rsidP="00F1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F2C" w:rsidRDefault="00F14F2C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615223">
      <w:rPr>
        <w:rStyle w:val="a7"/>
      </w:rPr>
      <w:instrText xml:space="preserve">PAGE  </w:instrText>
    </w:r>
    <w:r>
      <w:fldChar w:fldCharType="end"/>
    </w:r>
  </w:p>
  <w:p w:rsidR="00F14F2C" w:rsidRDefault="00F14F2C">
    <w:pPr>
      <w:pStyle w:val="a5"/>
      <w:ind w:right="360" w:firstLine="360"/>
    </w:pPr>
  </w:p>
  <w:p w:rsidR="00F14F2C" w:rsidRDefault="00F14F2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F2C" w:rsidRDefault="00615223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F14F2C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14F2C">
      <w:rPr>
        <w:sz w:val="28"/>
        <w:szCs w:val="28"/>
      </w:rPr>
      <w:fldChar w:fldCharType="separate"/>
    </w:r>
    <w:r w:rsidR="00EF46A9">
      <w:rPr>
        <w:rStyle w:val="a7"/>
        <w:noProof/>
        <w:sz w:val="28"/>
        <w:szCs w:val="28"/>
      </w:rPr>
      <w:t>7</w:t>
    </w:r>
    <w:r w:rsidR="00F14F2C"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F14F2C" w:rsidRDefault="00F14F2C">
    <w:pPr>
      <w:pStyle w:val="a5"/>
      <w:ind w:right="360" w:firstLine="360"/>
    </w:pPr>
  </w:p>
  <w:p w:rsidR="00F14F2C" w:rsidRDefault="00F14F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223" w:rsidRDefault="00615223" w:rsidP="00F14F2C">
      <w:r>
        <w:separator/>
      </w:r>
    </w:p>
  </w:footnote>
  <w:footnote w:type="continuationSeparator" w:id="0">
    <w:p w:rsidR="00615223" w:rsidRDefault="00615223" w:rsidP="00F14F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xYmJlMDVkZThiZDEzMzhhNDUxMzE1MjU4YzNhY2QifQ=="/>
  </w:docVars>
  <w:rsids>
    <w:rsidRoot w:val="00F129D1"/>
    <w:rsid w:val="002C51AF"/>
    <w:rsid w:val="00615223"/>
    <w:rsid w:val="00A259C8"/>
    <w:rsid w:val="00EF46A9"/>
    <w:rsid w:val="00F129D1"/>
    <w:rsid w:val="00F14F2C"/>
    <w:rsid w:val="04CA75A4"/>
    <w:rsid w:val="0B5C45D1"/>
    <w:rsid w:val="20690737"/>
    <w:rsid w:val="212233EC"/>
    <w:rsid w:val="26086788"/>
    <w:rsid w:val="268C4BF0"/>
    <w:rsid w:val="35BC3F62"/>
    <w:rsid w:val="3672762A"/>
    <w:rsid w:val="4BE513E9"/>
    <w:rsid w:val="56416830"/>
    <w:rsid w:val="5AD576AD"/>
    <w:rsid w:val="6B67103D"/>
    <w:rsid w:val="6F575670"/>
    <w:rsid w:val="7AE07F8A"/>
    <w:rsid w:val="7D8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PlainText"/>
    <w:link w:val="NormalCharacter"/>
    <w:qFormat/>
    <w:rsid w:val="00F14F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F14F2C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F14F2C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Text"/>
    <w:basedOn w:val="a"/>
    <w:next w:val="a3"/>
    <w:qFormat/>
    <w:rsid w:val="00F14F2C"/>
    <w:pPr>
      <w:textAlignment w:val="baseline"/>
    </w:pPr>
    <w:rPr>
      <w:rFonts w:ascii="宋体" w:eastAsia="宋体" w:hAnsi="Courier New"/>
      <w:kern w:val="0"/>
      <w:szCs w:val="24"/>
    </w:rPr>
  </w:style>
  <w:style w:type="paragraph" w:styleId="a3">
    <w:name w:val="header"/>
    <w:basedOn w:val="a"/>
    <w:next w:val="UserStyle2"/>
    <w:uiPriority w:val="99"/>
    <w:qFormat/>
    <w:rsid w:val="00F14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qFormat/>
    <w:rsid w:val="00F14F2C"/>
    <w:pPr>
      <w:ind w:leftChars="700" w:left="1440" w:rightChars="700" w:right="700"/>
      <w:textAlignment w:val="baseline"/>
    </w:pPr>
  </w:style>
  <w:style w:type="paragraph" w:styleId="a4">
    <w:name w:val="Plain Text"/>
    <w:basedOn w:val="a"/>
    <w:next w:val="a3"/>
    <w:uiPriority w:val="99"/>
    <w:qFormat/>
    <w:rsid w:val="00F14F2C"/>
    <w:rPr>
      <w:rFonts w:ascii="仿宋_GB2312" w:hAnsi="Courier New" w:cs="仿宋_GB2312"/>
    </w:rPr>
  </w:style>
  <w:style w:type="paragraph" w:styleId="a5">
    <w:name w:val="footer"/>
    <w:basedOn w:val="a"/>
    <w:link w:val="Char"/>
    <w:qFormat/>
    <w:rsid w:val="00F14F2C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paragraph" w:styleId="a6">
    <w:name w:val="Normal (Web)"/>
    <w:basedOn w:val="a"/>
    <w:uiPriority w:val="99"/>
    <w:qFormat/>
    <w:rsid w:val="00F14F2C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7">
    <w:name w:val="page number"/>
    <w:basedOn w:val="a0"/>
    <w:qFormat/>
    <w:rsid w:val="00F14F2C"/>
  </w:style>
  <w:style w:type="character" w:customStyle="1" w:styleId="Char">
    <w:name w:val="页脚 Char"/>
    <w:basedOn w:val="a0"/>
    <w:link w:val="a5"/>
    <w:qFormat/>
    <w:rsid w:val="00F14F2C"/>
    <w:rPr>
      <w:rFonts w:ascii="Times New Roman" w:eastAsia="仿宋_GB2312" w:hAnsi="Times New Roman" w:cs="Times New Roman"/>
      <w:sz w:val="18"/>
      <w:szCs w:val="18"/>
    </w:rPr>
  </w:style>
  <w:style w:type="paragraph" w:customStyle="1" w:styleId="UserStyle0">
    <w:name w:val="UserStyle_0"/>
    <w:basedOn w:val="a"/>
    <w:qFormat/>
    <w:rsid w:val="00F14F2C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qFormat/>
    <w:rsid w:val="00F14F2C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461</Words>
  <Characters>2629</Characters>
  <Application>Microsoft Office Word</Application>
  <DocSecurity>0</DocSecurity>
  <Lines>21</Lines>
  <Paragraphs>6</Paragraphs>
  <ScaleCrop>false</ScaleCrop>
  <Company>CHINA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3</cp:revision>
  <dcterms:created xsi:type="dcterms:W3CDTF">2020-08-10T07:53:00Z</dcterms:created>
  <dcterms:modified xsi:type="dcterms:W3CDTF">2022-09-26T09:49:00Z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023D78192141407EA137AA96996C6F1A</vt:lpwstr>
  </property>
</Properties>
</file>