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4A" w:rsidRDefault="00F519A0">
      <w:pPr>
        <w:pStyle w:val="a3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B4034A" w:rsidRDefault="007F5B3E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饶农</w:t>
      </w:r>
      <w:r w:rsidR="00F519A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 w:rsidR="00F519A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 w:rsidR="00F519A0"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2022</w:t>
      </w:r>
      <w:r w:rsidR="00F519A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ascii="Times New Roman" w:eastAsia="宋体" w:hAnsi="Times New Roman" w:cs="Times New Roman" w:hint="eastAsia"/>
          <w:color w:val="000000"/>
          <w:kern w:val="0"/>
          <w:sz w:val="32"/>
          <w:szCs w:val="32"/>
        </w:rPr>
        <w:t>1</w:t>
      </w:r>
      <w:r w:rsidR="00F519A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B4034A" w:rsidRDefault="00F519A0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B4034A" w:rsidRPr="007F5B3E" w:rsidRDefault="00B4034A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B4034A" w:rsidRDefault="00F519A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</w:t>
      </w:r>
      <w:r w:rsidR="0091157C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一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次会议</w:t>
      </w:r>
    </w:p>
    <w:p w:rsidR="00B4034A" w:rsidRDefault="00F519A0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ascii="Times New Roman" w:eastAsia="宋体" w:hAnsi="Times New Roman" w:cs="Times New Roman"/>
          <w:color w:val="000000"/>
          <w:kern w:val="0"/>
          <w:sz w:val="44"/>
          <w:szCs w:val="44"/>
        </w:rPr>
        <w:t>45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B4034A" w:rsidRDefault="00F519A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未小刚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代表： </w:t>
      </w:r>
    </w:p>
    <w:p w:rsidR="00B4034A" w:rsidRDefault="00F519A0">
      <w:pPr>
        <w:widowControl/>
        <w:ind w:firstLineChars="200" w:firstLine="64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您在市五届人大二次会议提出的《关于请求市委、市政府帮助铅山创建国家现代农业产业园的建议》（第</w:t>
      </w:r>
      <w:r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  <w:t>45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号）收悉。根据市政府办公室要求，该建议由我局主办，铅山县政府协办。我们双方均高度重视，在办理过程中通过电话方式与您进行了积极沟通。现根据我局与铅山县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政府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承办情况向您答复如下： </w:t>
      </w:r>
    </w:p>
    <w:p w:rsidR="00B4034A" w:rsidRDefault="00F519A0">
      <w:pPr>
        <w:widowControl/>
        <w:ind w:firstLineChars="200" w:firstLine="643"/>
        <w:rPr>
          <w:rFonts w:ascii="黑体" w:eastAsia="黑体" w:hAnsi="黑体" w:cs="黑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0"/>
          <w:sz w:val="32"/>
          <w:szCs w:val="32"/>
        </w:rPr>
        <w:t>一、全市现代农业园区创建基本情况</w:t>
      </w:r>
    </w:p>
    <w:p w:rsidR="00B4034A" w:rsidRDefault="00F519A0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我市高度重视现代农业园区发展建设，坚持以</w:t>
      </w:r>
      <w:r>
        <w:rPr>
          <w:rFonts w:ascii="仿宋" w:eastAsia="仿宋" w:hAnsi="仿宋" w:cs="仿宋" w:hint="eastAsia"/>
          <w:sz w:val="32"/>
          <w:szCs w:val="32"/>
        </w:rPr>
        <w:t>国家、省级园区申报创建为着力点，全面统筹部署，强化政策解读和业务指导，鼓励包括铅山县在内的有申报意愿和产业基础较好的县（市、区）争创国家、省级现代农业产业园（示范园），取得了阶段性成效。截止目前，全市共创建2家国家现代农业产业园,6家省级现代农业产业园，省级现代农业示范园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36家。其中铅山县现有新滩省级现代农业示范园、江天省级现代农业示范园两家。</w:t>
      </w:r>
    </w:p>
    <w:p w:rsidR="00B4034A" w:rsidRDefault="00F519A0">
      <w:pPr>
        <w:widowControl/>
        <w:ind w:firstLineChars="200" w:firstLine="643"/>
        <w:rPr>
          <w:rFonts w:ascii="黑体" w:eastAsia="黑体" w:hAnsi="黑体" w:cs="黑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0"/>
          <w:sz w:val="32"/>
          <w:szCs w:val="32"/>
        </w:rPr>
        <w:t>二、国家现代农业产业园申报指标、创建条件及申报程序</w:t>
      </w:r>
    </w:p>
    <w:p w:rsidR="00B4034A" w:rsidRDefault="00F519A0">
      <w:pPr>
        <w:widowControl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农业农村部、财政部每年联合组织开展一次</w:t>
      </w:r>
      <w:r>
        <w:rPr>
          <w:rFonts w:ascii="仿宋" w:eastAsia="仿宋" w:hAnsi="仿宋" w:cs="仿宋"/>
          <w:sz w:val="32"/>
          <w:szCs w:val="32"/>
        </w:rPr>
        <w:t>国家现代农业产业园申报</w:t>
      </w:r>
      <w:r>
        <w:rPr>
          <w:rFonts w:ascii="仿宋" w:eastAsia="仿宋" w:hAnsi="仿宋" w:cs="仿宋" w:hint="eastAsia"/>
          <w:sz w:val="32"/>
          <w:szCs w:val="32"/>
        </w:rPr>
        <w:t>，每次大概批复创建5</w:t>
      </w:r>
      <w:r>
        <w:rPr>
          <w:rFonts w:ascii="仿宋" w:eastAsia="仿宋" w:hAnsi="仿宋" w:cs="仿宋"/>
          <w:sz w:val="32"/>
          <w:szCs w:val="32"/>
        </w:rPr>
        <w:t>0个左右</w:t>
      </w:r>
      <w:r>
        <w:rPr>
          <w:rFonts w:ascii="仿宋" w:eastAsia="仿宋" w:hAnsi="仿宋" w:cs="仿宋" w:hint="eastAsia"/>
          <w:sz w:val="32"/>
          <w:szCs w:val="32"/>
        </w:rPr>
        <w:t>，其中江西省有2个指标（1个基础性指标和1个政策性指标）。对于批准创建的国家现代农业产业园，中央财政会通过以奖代补的形式给与支持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B4034A" w:rsidRDefault="00F519A0">
      <w:pPr>
        <w:pStyle w:val="20"/>
        <w:tabs>
          <w:tab w:val="left" w:pos="1179"/>
        </w:tabs>
        <w:spacing w:after="40" w:line="584" w:lineRule="exact"/>
        <w:ind w:left="0" w:firstLineChars="200" w:firstLine="643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创建</w:t>
      </w:r>
      <w:r>
        <w:rPr>
          <w:rFonts w:ascii="仿宋" w:eastAsia="仿宋" w:hAnsi="仿宋" w:cs="仿宋"/>
          <w:b/>
          <w:bCs/>
          <w:sz w:val="32"/>
          <w:szCs w:val="32"/>
        </w:rPr>
        <w:t>国家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现代农业产业园需具备7个方面的条件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b/>
          <w:sz w:val="32"/>
          <w:szCs w:val="32"/>
        </w:rPr>
        <w:t>一是主导产业特色优势明显。</w:t>
      </w:r>
      <w:r>
        <w:rPr>
          <w:rFonts w:ascii="仿宋" w:eastAsia="仿宋" w:hAnsi="仿宋" w:cs="仿宋" w:hint="eastAsia"/>
          <w:sz w:val="32"/>
          <w:szCs w:val="32"/>
        </w:rPr>
        <w:t>主导产业在本省区乃至全国具有较强的竞争优势。主导产业集中度高、上下游连接紧密，产业间关联度强，原则上数量为1—2个，产值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占产业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园总产值的比重达50%以上。种养规模化、加工集群化、科技集成化、营销品牌化的全产业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链开发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的格局已经形成，实现了一二 三产业融合发展。</w:t>
      </w:r>
      <w:r>
        <w:rPr>
          <w:rFonts w:ascii="仿宋" w:eastAsia="仿宋" w:hAnsi="仿宋" w:cs="仿宋" w:hint="eastAsia"/>
          <w:b/>
          <w:sz w:val="32"/>
          <w:szCs w:val="32"/>
        </w:rPr>
        <w:t>二是规划布局科学合理。</w:t>
      </w:r>
      <w:r>
        <w:rPr>
          <w:rFonts w:ascii="仿宋" w:eastAsia="仿宋" w:hAnsi="仿宋" w:cs="仿宋" w:hint="eastAsia"/>
          <w:sz w:val="32"/>
          <w:szCs w:val="32"/>
        </w:rPr>
        <w:t>已制定产业园专项规划，并经所在地县级或以上政府批准同意，明确了产业园发展布局和区域范围。 产业园种养、加工、物流、研发、服务等一二三产业板块已经形成， 且相对集中、联系紧密。</w:t>
      </w:r>
      <w:r>
        <w:rPr>
          <w:rFonts w:ascii="仿宋" w:eastAsia="仿宋" w:hAnsi="仿宋" w:cs="仿宋" w:hint="eastAsia"/>
          <w:b/>
          <w:sz w:val="32"/>
          <w:szCs w:val="32"/>
        </w:rPr>
        <w:t>三是建设水平区域领先。</w:t>
      </w:r>
      <w:r>
        <w:rPr>
          <w:rFonts w:ascii="仿宋" w:eastAsia="仿宋" w:hAnsi="仿宋" w:cs="仿宋" w:hint="eastAsia"/>
          <w:sz w:val="32"/>
          <w:szCs w:val="32"/>
        </w:rPr>
        <w:t>生产设施条件良好,高标准农田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占比较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高，生产经营信息化水平高，现代要素集聚能力强,技术集成应用水平较高，职业农民和专业人才队伍初步建立，生产经营体系完善，规模经营显著，新型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经菅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主体成为园区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建设主导力量。</w:t>
      </w:r>
      <w:r>
        <w:rPr>
          <w:rFonts w:ascii="仿宋" w:eastAsia="仿宋" w:hAnsi="仿宋" w:cs="仿宋" w:hint="eastAsia"/>
          <w:b/>
          <w:sz w:val="32"/>
          <w:szCs w:val="32"/>
        </w:rPr>
        <w:t>四是绿色发展成效突出。</w:t>
      </w:r>
      <w:r>
        <w:rPr>
          <w:rFonts w:ascii="仿宋" w:eastAsia="仿宋" w:hAnsi="仿宋" w:cs="仿宋" w:hint="eastAsia"/>
          <w:sz w:val="32"/>
          <w:szCs w:val="32"/>
        </w:rPr>
        <w:t>种养结合紧密，农业生产清洁，农业环境突出问题得到有效治理，“一控两减三基本”全面推行并取得实效。生产标准化、经营品牌化、质量可追溯，产品优质安全，绿色食品认证比重较高。农业绿色、低碳、循环发展长效机制基本建立。</w:t>
      </w:r>
      <w:r>
        <w:rPr>
          <w:rFonts w:ascii="仿宋" w:eastAsia="仿宋" w:hAnsi="仿宋" w:cs="仿宋" w:hint="eastAsia"/>
          <w:b/>
          <w:sz w:val="32"/>
          <w:szCs w:val="32"/>
        </w:rPr>
        <w:t>五是</w:t>
      </w:r>
      <w:r>
        <w:rPr>
          <w:rFonts w:ascii="仿宋" w:eastAsia="仿宋" w:hAnsi="仿宋" w:cs="仿宋"/>
          <w:b/>
          <w:sz w:val="32"/>
          <w:szCs w:val="32"/>
        </w:rPr>
        <w:t>带动农民作用显著。</w:t>
      </w:r>
      <w:r>
        <w:rPr>
          <w:rFonts w:ascii="仿宋" w:eastAsia="仿宋" w:hAnsi="仿宋" w:cs="仿宋"/>
          <w:sz w:val="32"/>
          <w:szCs w:val="32"/>
        </w:rPr>
        <w:t>产业</w:t>
      </w:r>
      <w:proofErr w:type="gramStart"/>
      <w:r>
        <w:rPr>
          <w:rFonts w:ascii="仿宋" w:eastAsia="仿宋" w:hAnsi="仿宋" w:cs="仿宋"/>
          <w:sz w:val="32"/>
          <w:szCs w:val="32"/>
        </w:rPr>
        <w:t>园积极</w:t>
      </w:r>
      <w:proofErr w:type="gramEnd"/>
      <w:r>
        <w:rPr>
          <w:rFonts w:ascii="仿宋" w:eastAsia="仿宋" w:hAnsi="仿宋" w:cs="仿宋"/>
          <w:sz w:val="32"/>
          <w:szCs w:val="32"/>
        </w:rPr>
        <w:t>创新联农带农激励机制， 推动发展合作制、股份制、订单农业等多种利益联结方式，推进资源变资产、资金变股金、农民变股东，农民分享二三产业增值收益有保障。园区农民可支配收入原则上应高于当地平均水平的30%。</w:t>
      </w:r>
      <w:r>
        <w:rPr>
          <w:rFonts w:ascii="仿宋" w:eastAsia="仿宋" w:hAnsi="仿宋" w:cs="仿宋"/>
          <w:b/>
          <w:sz w:val="32"/>
          <w:szCs w:val="32"/>
        </w:rPr>
        <w:t>六是政策支持措施有力。</w:t>
      </w:r>
      <w:r>
        <w:rPr>
          <w:rFonts w:ascii="仿宋" w:eastAsia="仿宋" w:hAnsi="仿宋" w:cs="仿宋"/>
          <w:sz w:val="32"/>
          <w:szCs w:val="32"/>
        </w:rPr>
        <w:t>地方政府支持力度大，统筹整合财政专项、基本建设投资等资金用于产业园建设，并在用地保障、财政扶持、金融服务、科技创新应用、人才支撑等方面有明确的政策措施，政策含金量高，有针对性和可操作性。水、电、路、讯、网络等基础设施完备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b/>
          <w:sz w:val="32"/>
          <w:szCs w:val="32"/>
        </w:rPr>
        <w:t>七是组织管理健全完善。</w:t>
      </w:r>
      <w:r>
        <w:rPr>
          <w:rFonts w:ascii="仿宋" w:eastAsia="仿宋" w:hAnsi="仿宋" w:cs="仿宋" w:hint="eastAsia"/>
          <w:sz w:val="32"/>
          <w:szCs w:val="32"/>
        </w:rPr>
        <w:t>产业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园运行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管理机制有活力，方式有创新，有适应发展要求的管理机制和开发运行机制。政府引导有力，多企业、多主体建设产业园的积极性充分调动,形成了产业园持续发展的动力机制。</w:t>
      </w:r>
    </w:p>
    <w:p w:rsidR="00B4034A" w:rsidRDefault="00F519A0">
      <w:pPr>
        <w:widowControl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国家现代农业</w:t>
      </w:r>
      <w:bookmarkStart w:id="0" w:name="_GoBack"/>
      <w:bookmarkEnd w:id="0"/>
      <w:r>
        <w:rPr>
          <w:rFonts w:ascii="仿宋" w:eastAsia="仿宋" w:hAnsi="仿宋" w:cs="仿宋" w:hint="eastAsia"/>
          <w:b/>
          <w:bCs/>
          <w:sz w:val="32"/>
          <w:szCs w:val="32"/>
        </w:rPr>
        <w:t>产业园申报程序</w:t>
      </w:r>
      <w:r>
        <w:rPr>
          <w:rFonts w:ascii="仿宋" w:eastAsia="仿宋" w:hAnsi="仿宋" w:cs="仿宋" w:hint="eastAsia"/>
          <w:sz w:val="32"/>
          <w:szCs w:val="32"/>
        </w:rPr>
        <w:t>：国家现代农业产业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园按照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产业园所在地县级人民政府申请，市级农业和财政部门推荐，省级农业和财政厅（委、局）核报省级政府同意后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报农业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农村部、财政部的程序，开展申请创建工作。农业农村部、财政部按照高标准、少而精、宁缺毋滥的要求，组织竞争性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选拔；符合创建条件的，经公示后可批准创建国家现代农业产业园; 经一定时间建设达到国家现代农业产业园认定标准的，可认定为国家现代农业产业园。</w:t>
      </w:r>
    </w:p>
    <w:p w:rsidR="00B4034A" w:rsidRDefault="00F519A0">
      <w:pPr>
        <w:widowControl/>
        <w:ind w:firstLineChars="200" w:firstLine="643"/>
        <w:rPr>
          <w:rFonts w:ascii="黑体" w:eastAsia="黑体" w:hAnsi="黑体" w:cs="黑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kern w:val="0"/>
          <w:sz w:val="32"/>
          <w:szCs w:val="32"/>
        </w:rPr>
        <w:t>三、下一步支持铅山县创建国家现代农业产业园的举措</w:t>
      </w:r>
    </w:p>
    <w:p w:rsidR="00B4034A" w:rsidRDefault="00F519A0">
      <w:pPr>
        <w:widowControl/>
        <w:ind w:firstLineChars="200" w:firstLine="640"/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</w:rPr>
        <w:t>下一步，我局将会同铅山县一起，严格对照国家现代农业产业园</w:t>
      </w:r>
      <w:r>
        <w:rPr>
          <w:rFonts w:ascii="仿宋" w:eastAsia="仿宋" w:hAnsi="仿宋" w:cs="仿宋"/>
          <w:sz w:val="32"/>
          <w:szCs w:val="32"/>
        </w:rPr>
        <w:t>创建条件，强化政策举措</w:t>
      </w:r>
      <w:r>
        <w:rPr>
          <w:rFonts w:ascii="仿宋" w:eastAsia="仿宋" w:hAnsi="仿宋" w:cs="仿宋" w:hint="eastAsia"/>
          <w:sz w:val="32"/>
          <w:szCs w:val="32"/>
        </w:rPr>
        <w:t>，健全要素保障，提升</w:t>
      </w:r>
      <w:r>
        <w:rPr>
          <w:rFonts w:ascii="仿宋" w:eastAsia="仿宋" w:hAnsi="仿宋" w:cs="仿宋"/>
          <w:sz w:val="32"/>
          <w:szCs w:val="32"/>
        </w:rPr>
        <w:t>产业园发展建设水平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/>
          <w:sz w:val="32"/>
          <w:szCs w:val="32"/>
        </w:rPr>
        <w:t>夯实国家现代农业产业园创建基础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/>
          <w:b/>
          <w:sz w:val="32"/>
          <w:szCs w:val="32"/>
        </w:rPr>
        <w:t>一是壮大做强主导产业</w:t>
      </w:r>
      <w:r>
        <w:rPr>
          <w:rFonts w:ascii="仿宋" w:eastAsia="仿宋" w:hAnsi="仿宋" w:cs="仿宋" w:hint="eastAsia"/>
          <w:b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紧扣红芽芋和河红茶两个主导产业发展需求和短板，着力建设一批标准化生产大基地，发展一批农产品大加工，培育一批农产品大品牌，不断强化科技支撑能力，扩大主导产业规模，提升主导产业质量效益，力争产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园规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划面积在30万亩以上，产业园年度总产值30亿元以上，产值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占产业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园总产值的比重达50%以上，力争主导产业在全省乃至全国都有较强影响力。</w:t>
      </w:r>
      <w:r>
        <w:rPr>
          <w:rFonts w:ascii="仿宋" w:eastAsia="仿宋" w:hAnsi="仿宋" w:cs="仿宋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二是</w:t>
      </w:r>
      <w:r>
        <w:rPr>
          <w:rFonts w:ascii="仿宋" w:eastAsia="仿宋" w:hAnsi="仿宋" w:cs="仿宋"/>
          <w:b/>
          <w:color w:val="000000" w:themeColor="text1"/>
          <w:kern w:val="0"/>
          <w:sz w:val="32"/>
          <w:szCs w:val="32"/>
          <w:shd w:val="clear" w:color="auto" w:fill="FFFFFF"/>
        </w:rPr>
        <w:t>强化</w:t>
      </w:r>
      <w:r>
        <w:rPr>
          <w:rFonts w:ascii="仿宋" w:eastAsia="仿宋" w:hAnsi="仿宋" w:cs="仿宋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产业园要素保障。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建立健全产业园发展要素保障体系，加大</w:t>
      </w:r>
      <w:r>
        <w:rPr>
          <w:rFonts w:ascii="仿宋" w:eastAsia="仿宋" w:hAnsi="仿宋" w:cs="仿宋"/>
          <w:sz w:val="32"/>
          <w:szCs w:val="32"/>
        </w:rPr>
        <w:t>地方政府资金支持力度，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统筹现有资金渠道，按照“渠道不乱、用途不变”的原则向产业园倾斜，形成集聚效应。积极通过PPP、政府购买服务、 贷款贴息等方式，撬动更多金融和社会资本</w:t>
      </w:r>
      <w:proofErr w:type="gramStart"/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本</w:t>
      </w:r>
      <w:proofErr w:type="gramEnd"/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投入产业团建设。</w:t>
      </w:r>
      <w:r>
        <w:rPr>
          <w:rFonts w:ascii="仿宋" w:eastAsia="仿宋" w:hAnsi="仿宋" w:cs="仿宋"/>
          <w:sz w:val="32"/>
          <w:szCs w:val="32"/>
        </w:rPr>
        <w:t>持续</w:t>
      </w:r>
      <w:r>
        <w:rPr>
          <w:rFonts w:ascii="仿宋" w:eastAsia="仿宋" w:hAnsi="仿宋" w:cs="仿宋" w:hint="eastAsia"/>
          <w:sz w:val="32"/>
          <w:szCs w:val="32"/>
        </w:rPr>
        <w:t>完善产业园</w:t>
      </w:r>
      <w:r>
        <w:rPr>
          <w:rFonts w:ascii="仿宋" w:eastAsia="仿宋" w:hAnsi="仿宋" w:cs="仿宋"/>
          <w:sz w:val="32"/>
          <w:szCs w:val="32"/>
        </w:rPr>
        <w:t>水、电、路、讯、网络等基础设施</w:t>
      </w:r>
      <w:r>
        <w:rPr>
          <w:rFonts w:ascii="仿宋" w:eastAsia="仿宋" w:hAnsi="仿宋" w:cs="仿宋" w:hint="eastAsia"/>
          <w:sz w:val="32"/>
          <w:szCs w:val="32"/>
        </w:rPr>
        <w:t>,不断提升产业园区管理服务能力水平，</w:t>
      </w:r>
      <w:r>
        <w:rPr>
          <w:rFonts w:ascii="仿宋" w:eastAsia="仿宋" w:hAnsi="仿宋" w:cs="仿宋"/>
          <w:sz w:val="32"/>
          <w:szCs w:val="32"/>
        </w:rPr>
        <w:t>在用地保障、科技创新应用、人才支撑等方面持续向产业园区倾斜。</w:t>
      </w:r>
      <w:r>
        <w:rPr>
          <w:rFonts w:ascii="仿宋" w:eastAsia="仿宋" w:hAnsi="仿宋" w:cs="仿宋"/>
          <w:b/>
          <w:sz w:val="32"/>
          <w:szCs w:val="32"/>
        </w:rPr>
        <w:t>三是</w:t>
      </w:r>
      <w:r>
        <w:rPr>
          <w:rFonts w:ascii="仿宋" w:eastAsia="仿宋" w:hAnsi="仿宋" w:cs="仿宋" w:hint="eastAsia"/>
          <w:b/>
          <w:color w:val="000000" w:themeColor="text1"/>
          <w:kern w:val="0"/>
          <w:sz w:val="32"/>
          <w:szCs w:val="32"/>
          <w:shd w:val="clear" w:color="auto" w:fill="FFFFFF"/>
        </w:rPr>
        <w:t>找准产业园功能定位。</w:t>
      </w:r>
      <w:r>
        <w:rPr>
          <w:rFonts w:ascii="仿宋" w:eastAsia="仿宋" w:hAnsi="仿宋" w:cs="仿宋" w:hint="eastAsia"/>
          <w:sz w:val="32"/>
          <w:szCs w:val="32"/>
        </w:rPr>
        <w:t>制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定产业园专项规划，明确产业园发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lastRenderedPageBreak/>
        <w:t>展建设思路和方向，围绕做大做强主导产业、建设乡村产业兴旺引领区，提升科技创新水平能力、建设创新引领示范区，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促进生产要素集聚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建设现代技术与装备集成区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推进产</w:t>
      </w:r>
      <w:proofErr w:type="gramStart"/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加销贸工农</w:t>
      </w:r>
      <w:proofErr w:type="gramEnd"/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一体化发展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建设一二三产融合发展区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推进适度规模经营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建设新型经营主体创业创新孵化区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提升农业质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量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效益和竞争力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"/>
          <w:color w:val="000000" w:themeColor="text1"/>
          <w:kern w:val="0"/>
          <w:sz w:val="32"/>
          <w:szCs w:val="32"/>
          <w:shd w:val="clear" w:color="auto" w:fill="FFFFFF"/>
        </w:rPr>
        <w:t>建设高质量发展示范区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  <w:shd w:val="clear" w:color="auto" w:fill="FFFFFF"/>
        </w:rPr>
        <w:t>六个方面持续精准发力，夯实基础。</w:t>
      </w:r>
    </w:p>
    <w:p w:rsidR="00B4034A" w:rsidRDefault="00F519A0">
      <w:pPr>
        <w:pStyle w:val="a3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以上答复，不妥之处，请批评指正</w:t>
      </w:r>
      <w:r>
        <w:rPr>
          <w:rFonts w:ascii="Times New Roman" w:hAnsi="Times New Roman" w:cs="Times New Roman"/>
          <w:szCs w:val="32"/>
        </w:rPr>
        <w:t>!</w:t>
      </w:r>
    </w:p>
    <w:p w:rsidR="00B4034A" w:rsidRDefault="00B4034A">
      <w:pPr>
        <w:pStyle w:val="a3"/>
        <w:ind w:firstLineChars="700" w:firstLine="2240"/>
        <w:jc w:val="left"/>
        <w:rPr>
          <w:rFonts w:ascii="Times New Roman" w:hAnsi="Times New Roman" w:cs="Times New Roman"/>
          <w:szCs w:val="32"/>
        </w:rPr>
      </w:pPr>
    </w:p>
    <w:p w:rsidR="00B4034A" w:rsidRDefault="00B4034A">
      <w:pPr>
        <w:pStyle w:val="a3"/>
        <w:ind w:firstLineChars="700" w:firstLine="2240"/>
        <w:jc w:val="left"/>
        <w:rPr>
          <w:rFonts w:ascii="Times New Roman" w:hAnsi="Times New Roman" w:cs="Times New Roman"/>
          <w:szCs w:val="32"/>
        </w:rPr>
      </w:pPr>
    </w:p>
    <w:p w:rsidR="00B4034A" w:rsidRDefault="00F519A0">
      <w:pPr>
        <w:pStyle w:val="a3"/>
        <w:ind w:firstLineChars="1300" w:firstLine="4160"/>
        <w:jc w:val="left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上饶市农业农村局</w:t>
      </w:r>
      <w:r>
        <w:rPr>
          <w:rFonts w:ascii="Times New Roman" w:hAnsi="Times New Roman" w:cs="Times New Roman"/>
          <w:szCs w:val="32"/>
        </w:rPr>
        <w:t xml:space="preserve"> </w:t>
      </w:r>
    </w:p>
    <w:p w:rsidR="00B4034A" w:rsidRDefault="00F519A0">
      <w:pPr>
        <w:pStyle w:val="a3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  2022</w:t>
      </w:r>
      <w:r>
        <w:rPr>
          <w:rFonts w:ascii="Times New Roman" w:hAnsi="Times New Roman" w:cs="Times New Roman"/>
          <w:szCs w:val="32"/>
        </w:rPr>
        <w:t>年</w:t>
      </w:r>
      <w:r>
        <w:rPr>
          <w:rFonts w:ascii="Times New Roman" w:hAnsi="Times New Roman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月</w:t>
      </w:r>
      <w:r>
        <w:rPr>
          <w:rFonts w:ascii="Times New Roman" w:hAnsi="Times New Roman" w:cs="Times New Roman"/>
          <w:szCs w:val="32"/>
        </w:rPr>
        <w:t>14</w:t>
      </w:r>
      <w:r>
        <w:rPr>
          <w:rFonts w:ascii="Times New Roman" w:hAnsi="Times New Roman" w:cs="Times New Roman"/>
          <w:szCs w:val="32"/>
        </w:rPr>
        <w:t>日</w:t>
      </w:r>
    </w:p>
    <w:p w:rsidR="00B4034A" w:rsidRPr="0091157C" w:rsidRDefault="00B4034A">
      <w:pPr>
        <w:pStyle w:val="a3"/>
        <w:rPr>
          <w:rFonts w:ascii="Times New Roman" w:hAnsi="Times New Roman" w:cs="Times New Roman"/>
          <w:szCs w:val="32"/>
        </w:rPr>
      </w:pPr>
    </w:p>
    <w:p w:rsidR="00B4034A" w:rsidRDefault="00B4034A">
      <w:pPr>
        <w:pStyle w:val="a3"/>
        <w:rPr>
          <w:rFonts w:ascii="Times New Roman" w:hAnsi="Times New Roman" w:cs="Times New Roman"/>
          <w:szCs w:val="32"/>
        </w:rPr>
      </w:pPr>
    </w:p>
    <w:p w:rsidR="00B4034A" w:rsidRDefault="00B4034A">
      <w:pPr>
        <w:pStyle w:val="a3"/>
        <w:rPr>
          <w:rFonts w:ascii="Times New Roman" w:hAnsi="Times New Roman" w:cs="Times New Roman"/>
          <w:szCs w:val="32"/>
        </w:rPr>
      </w:pPr>
    </w:p>
    <w:p w:rsidR="00B4034A" w:rsidRDefault="00B4034A">
      <w:pPr>
        <w:pStyle w:val="a3"/>
        <w:rPr>
          <w:rFonts w:ascii="Times New Roman" w:hAnsi="Times New Roman" w:cs="Times New Roman"/>
          <w:szCs w:val="32"/>
        </w:rPr>
      </w:pPr>
    </w:p>
    <w:p w:rsidR="00B4034A" w:rsidRDefault="00B4034A">
      <w:pPr>
        <w:pStyle w:val="a3"/>
        <w:rPr>
          <w:rFonts w:ascii="Times New Roman" w:hAnsi="Times New Roman" w:cs="Times New Roman"/>
          <w:szCs w:val="32"/>
        </w:rPr>
      </w:pPr>
    </w:p>
    <w:p w:rsidR="00B4034A" w:rsidRDefault="00B4034A">
      <w:pPr>
        <w:pStyle w:val="a3"/>
        <w:rPr>
          <w:rFonts w:ascii="Times New Roman" w:hAnsi="Times New Roman" w:cs="Times New Roman"/>
          <w:szCs w:val="32"/>
        </w:rPr>
      </w:pPr>
    </w:p>
    <w:p w:rsidR="00B4034A" w:rsidRDefault="00F519A0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B4034A" w:rsidRDefault="00F519A0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联系人（姓名、职务）：</w:t>
      </w:r>
      <w:r>
        <w:rPr>
          <w:rFonts w:ascii="Times New Roman" w:hAnsi="Times New Roman" w:cs="Times New Roman"/>
          <w:szCs w:val="32"/>
        </w:rPr>
        <w:t></w:t>
      </w:r>
      <w:r>
        <w:rPr>
          <w:rFonts w:ascii="Times New Roman" w:hAnsi="Times New Roman" w:cs="Times New Roman"/>
          <w:szCs w:val="32"/>
        </w:rPr>
        <w:t>程雄彬</w:t>
      </w:r>
      <w:r>
        <w:rPr>
          <w:rFonts w:ascii="Times New Roman" w:hAnsi="Times New Roman" w:cs="Times New Roman" w:hint="eastAsia"/>
          <w:szCs w:val="32"/>
        </w:rPr>
        <w:t xml:space="preserve"> </w:t>
      </w:r>
      <w:r>
        <w:rPr>
          <w:rFonts w:ascii="Times New Roman" w:hAnsi="Times New Roman" w:cs="Times New Roman" w:hint="eastAsia"/>
          <w:szCs w:val="32"/>
        </w:rPr>
        <w:t>行政服务科干部</w:t>
      </w:r>
    </w:p>
    <w:p w:rsidR="00B4034A" w:rsidRDefault="00F519A0">
      <w:pPr>
        <w:pStyle w:val="a3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联系电话：</w:t>
      </w:r>
      <w:r>
        <w:rPr>
          <w:rFonts w:ascii="Times New Roman" w:hAnsi="Times New Roman" w:cs="Times New Roman" w:hint="eastAsia"/>
          <w:szCs w:val="32"/>
        </w:rPr>
        <w:t>1</w:t>
      </w:r>
      <w:r>
        <w:rPr>
          <w:rFonts w:ascii="Times New Roman" w:hAnsi="Times New Roman" w:cs="Times New Roman"/>
          <w:szCs w:val="32"/>
        </w:rPr>
        <w:t>3161153904</w:t>
      </w:r>
    </w:p>
    <w:p w:rsidR="00B4034A" w:rsidRDefault="00B4034A"/>
    <w:sectPr w:rsidR="00B4034A" w:rsidSect="00B403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15A" w:rsidRDefault="000D115A" w:rsidP="007F5B3E">
      <w:r>
        <w:separator/>
      </w:r>
    </w:p>
  </w:endnote>
  <w:endnote w:type="continuationSeparator" w:id="0">
    <w:p w:rsidR="000D115A" w:rsidRDefault="000D115A" w:rsidP="007F5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15A" w:rsidRDefault="000D115A" w:rsidP="007F5B3E">
      <w:r>
        <w:separator/>
      </w:r>
    </w:p>
  </w:footnote>
  <w:footnote w:type="continuationSeparator" w:id="0">
    <w:p w:rsidR="000D115A" w:rsidRDefault="000D115A" w:rsidP="007F5B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E0MTcyOTIxMzYzZTQ2YmVkMTE1YmI0MmNmZDkxMGMifQ=="/>
  </w:docVars>
  <w:rsids>
    <w:rsidRoot w:val="001F03C7"/>
    <w:rsid w:val="00006C09"/>
    <w:rsid w:val="00065DAA"/>
    <w:rsid w:val="000C615F"/>
    <w:rsid w:val="000D115A"/>
    <w:rsid w:val="001109B5"/>
    <w:rsid w:val="00111099"/>
    <w:rsid w:val="001722C1"/>
    <w:rsid w:val="00180BC7"/>
    <w:rsid w:val="001F03C7"/>
    <w:rsid w:val="00243AE1"/>
    <w:rsid w:val="00246F3B"/>
    <w:rsid w:val="0028324D"/>
    <w:rsid w:val="002B14E1"/>
    <w:rsid w:val="00306263"/>
    <w:rsid w:val="0031485A"/>
    <w:rsid w:val="00327680"/>
    <w:rsid w:val="00336DA4"/>
    <w:rsid w:val="00393ACA"/>
    <w:rsid w:val="00412749"/>
    <w:rsid w:val="00492390"/>
    <w:rsid w:val="004B3FAC"/>
    <w:rsid w:val="004C5605"/>
    <w:rsid w:val="004D3E60"/>
    <w:rsid w:val="004E0017"/>
    <w:rsid w:val="005356E1"/>
    <w:rsid w:val="00590E5C"/>
    <w:rsid w:val="005C6B78"/>
    <w:rsid w:val="00605DCA"/>
    <w:rsid w:val="006555A5"/>
    <w:rsid w:val="00675EE2"/>
    <w:rsid w:val="00684548"/>
    <w:rsid w:val="006F5DD1"/>
    <w:rsid w:val="00790746"/>
    <w:rsid w:val="007F5B3E"/>
    <w:rsid w:val="008079A1"/>
    <w:rsid w:val="008154AA"/>
    <w:rsid w:val="008212F6"/>
    <w:rsid w:val="008214C5"/>
    <w:rsid w:val="0086304F"/>
    <w:rsid w:val="00864463"/>
    <w:rsid w:val="00897091"/>
    <w:rsid w:val="008D09F7"/>
    <w:rsid w:val="0091157C"/>
    <w:rsid w:val="009455F1"/>
    <w:rsid w:val="0095704D"/>
    <w:rsid w:val="0099410B"/>
    <w:rsid w:val="009D1149"/>
    <w:rsid w:val="00A1295F"/>
    <w:rsid w:val="00A5494E"/>
    <w:rsid w:val="00AA429C"/>
    <w:rsid w:val="00B12C2C"/>
    <w:rsid w:val="00B1704F"/>
    <w:rsid w:val="00B36D86"/>
    <w:rsid w:val="00B4034A"/>
    <w:rsid w:val="00B60ACB"/>
    <w:rsid w:val="00B61E2F"/>
    <w:rsid w:val="00B645A9"/>
    <w:rsid w:val="00BC1167"/>
    <w:rsid w:val="00BE1FEF"/>
    <w:rsid w:val="00BE5DB6"/>
    <w:rsid w:val="00C12702"/>
    <w:rsid w:val="00C7306A"/>
    <w:rsid w:val="00C765C6"/>
    <w:rsid w:val="00C809D4"/>
    <w:rsid w:val="00D6587C"/>
    <w:rsid w:val="00D728A8"/>
    <w:rsid w:val="00E607F0"/>
    <w:rsid w:val="00ED2FE3"/>
    <w:rsid w:val="00EE28D4"/>
    <w:rsid w:val="00F36E47"/>
    <w:rsid w:val="00F519A0"/>
    <w:rsid w:val="00FD3AD4"/>
    <w:rsid w:val="00FF5D3D"/>
    <w:rsid w:val="4D823EDC"/>
    <w:rsid w:val="5AC92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B4034A"/>
    <w:rPr>
      <w:rFonts w:ascii="仿宋_GB2312" w:eastAsia="仿宋_GB2312" w:hAnsi="Courier New" w:cs="Courier New"/>
      <w:sz w:val="32"/>
      <w:szCs w:val="21"/>
    </w:rPr>
  </w:style>
  <w:style w:type="paragraph" w:styleId="a4">
    <w:name w:val="footer"/>
    <w:basedOn w:val="a"/>
    <w:link w:val="Char0"/>
    <w:uiPriority w:val="99"/>
    <w:unhideWhenUsed/>
    <w:rsid w:val="00B40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40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rsid w:val="00B4034A"/>
    <w:rPr>
      <w:rFonts w:ascii="仿宋_GB2312" w:eastAsia="仿宋_GB2312" w:hAnsi="Courier New" w:cs="Courier New"/>
      <w:sz w:val="32"/>
      <w:szCs w:val="21"/>
    </w:rPr>
  </w:style>
  <w:style w:type="character" w:customStyle="1" w:styleId="Char1">
    <w:name w:val="页眉 Char"/>
    <w:basedOn w:val="a0"/>
    <w:link w:val="a5"/>
    <w:uiPriority w:val="99"/>
    <w:rsid w:val="00B4034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034A"/>
    <w:rPr>
      <w:sz w:val="18"/>
      <w:szCs w:val="18"/>
    </w:rPr>
  </w:style>
  <w:style w:type="character" w:customStyle="1" w:styleId="2">
    <w:name w:val="正文文本 (2)_"/>
    <w:basedOn w:val="a0"/>
    <w:link w:val="20"/>
    <w:rsid w:val="00B4034A"/>
    <w:rPr>
      <w:rFonts w:ascii="宋体" w:eastAsia="宋体" w:hAnsi="宋体" w:cs="宋体"/>
      <w:sz w:val="28"/>
      <w:szCs w:val="28"/>
    </w:rPr>
  </w:style>
  <w:style w:type="paragraph" w:customStyle="1" w:styleId="20">
    <w:name w:val="正文文本 (2)"/>
    <w:basedOn w:val="a"/>
    <w:link w:val="2"/>
    <w:rsid w:val="00B4034A"/>
    <w:pPr>
      <w:spacing w:line="588" w:lineRule="exact"/>
      <w:ind w:left="200" w:firstLine="600"/>
      <w:jc w:val="left"/>
    </w:pPr>
    <w:rPr>
      <w:rFonts w:ascii="宋体" w:eastAsia="宋体" w:hAnsi="宋体" w:cs="宋体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F9813-88B2-4C61-B5A4-C5E42AAE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2854</TotalTime>
  <Pages>5</Pages>
  <Words>352</Words>
  <Characters>2009</Characters>
  <Application>Microsoft Office Word</Application>
  <DocSecurity>0</DocSecurity>
  <Lines>16</Lines>
  <Paragraphs>4</Paragraphs>
  <ScaleCrop>false</ScaleCrop>
  <Company>Microsoft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上饶市农业局收发员</cp:lastModifiedBy>
  <cp:revision>86</cp:revision>
  <dcterms:created xsi:type="dcterms:W3CDTF">2022-06-13T09:01:00Z</dcterms:created>
  <dcterms:modified xsi:type="dcterms:W3CDTF">2022-08-23T09:50:00Z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DAFA76A3FD3743EC886F229AA46D6142</vt:lpwstr>
  </property>
</Properties>
</file>