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BC" w:rsidRDefault="005713BC" w:rsidP="005713BC">
      <w:pPr>
        <w:pStyle w:val="a0"/>
        <w:ind w:firstLine="1386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5713BC" w:rsidRDefault="005713BC" w:rsidP="005713BC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r w:rsidRPr="007F5B3E">
        <w:rPr>
          <w:rFonts w:ascii="仿宋" w:eastAsia="仿宋" w:hAnsi="仿宋" w:hint="eastAsia"/>
          <w:color w:val="000000"/>
          <w:kern w:val="0"/>
          <w:sz w:val="32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议字〔</w:t>
      </w:r>
      <w:r>
        <w:rPr>
          <w:rFonts w:ascii="Times New Roman" w:hAnsi="Times New Roman"/>
          <w:color w:val="000000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 w:rsidR="00DB3BEF">
        <w:rPr>
          <w:rFonts w:hint="eastAsia"/>
          <w:color w:val="000000"/>
          <w:kern w:val="0"/>
          <w:sz w:val="32"/>
          <w:szCs w:val="32"/>
        </w:rPr>
        <w:t>31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5713BC" w:rsidRDefault="005713BC" w:rsidP="005713BC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rFonts w:ascii="Times New Roman" w:hAnsi="Times New Roman"/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5713BC" w:rsidRPr="007F5B3E" w:rsidRDefault="005713BC" w:rsidP="005713BC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5713BC" w:rsidRDefault="005713BC" w:rsidP="005713BC">
      <w:pPr>
        <w:widowControl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关于市五届人大二次会议</w:t>
      </w:r>
    </w:p>
    <w:p w:rsidR="00777FAD" w:rsidRDefault="005713BC" w:rsidP="005713BC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3"/>
          <w:szCs w:val="43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hint="eastAsia"/>
          <w:color w:val="000000"/>
          <w:kern w:val="0"/>
          <w:sz w:val="44"/>
          <w:szCs w:val="44"/>
        </w:rPr>
        <w:t>168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5713BC" w:rsidRDefault="005713BC">
      <w:pPr>
        <w:spacing w:line="560" w:lineRule="exact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777FAD" w:rsidRDefault="003A586C">
      <w:pPr>
        <w:spacing w:line="560" w:lineRule="exact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谭湘代表： </w:t>
      </w:r>
    </w:p>
    <w:p w:rsidR="00777FAD" w:rsidRDefault="003A586C">
      <w:pPr>
        <w:spacing w:line="560" w:lineRule="exact"/>
        <w:ind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您在市五届人大二次会议</w:t>
      </w:r>
      <w:bookmarkStart w:id="0" w:name="_GoBack"/>
      <w:r>
        <w:rPr>
          <w:rFonts w:ascii="仿宋_GB2312" w:eastAsia="仿宋_GB2312" w:hAnsi="仿宋_GB2312" w:cs="仿宋_GB2312" w:hint="eastAsia"/>
          <w:bCs/>
          <w:sz w:val="32"/>
          <w:szCs w:val="32"/>
        </w:rPr>
        <w:t>提出的《关于加大对鄱阳湖全面禁捕退捕相关政策支持力度的建议》（第168号）收悉。根据市政府办公室要求，该建议由我局主办，余干县政府协</w:t>
      </w:r>
      <w:bookmarkEnd w:id="0"/>
      <w:r>
        <w:rPr>
          <w:rFonts w:ascii="仿宋_GB2312" w:eastAsia="仿宋_GB2312" w:hAnsi="仿宋_GB2312" w:cs="仿宋_GB2312" w:hint="eastAsia"/>
          <w:bCs/>
          <w:sz w:val="32"/>
          <w:szCs w:val="32"/>
        </w:rPr>
        <w:t>办。我们均高度重视您所反映的问题，在办理过程中通过电话方式与您进行了积极沟通。现根据我局与余干县政府承办情况向您答复如下：</w:t>
      </w:r>
    </w:p>
    <w:p w:rsidR="00777FAD" w:rsidRDefault="003A586C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 xml:space="preserve">　　一、关于加大禁捕</w:t>
      </w:r>
      <w:proofErr w:type="gramStart"/>
      <w:r>
        <w:rPr>
          <w:rFonts w:ascii="黑体" w:eastAsia="黑体" w:hAnsi="黑体" w:cs="黑体" w:hint="eastAsia"/>
          <w:bCs/>
          <w:sz w:val="32"/>
          <w:szCs w:val="32"/>
        </w:rPr>
        <w:t>退捕资金</w:t>
      </w:r>
      <w:proofErr w:type="gramEnd"/>
      <w:r>
        <w:rPr>
          <w:rFonts w:ascii="黑体" w:eastAsia="黑体" w:hAnsi="黑体" w:cs="黑体" w:hint="eastAsia"/>
          <w:bCs/>
          <w:sz w:val="32"/>
          <w:szCs w:val="32"/>
        </w:rPr>
        <w:t>补助力度。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长江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“十年禁渔”是习近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平总书记亲自谋划、亲自部署、亲自推动的大事要事，是共抓长江大保护的标志性示范性工程。</w:t>
      </w:r>
      <w:r>
        <w:rPr>
          <w:rFonts w:ascii="仿宋_GB2312" w:eastAsia="仿宋_GB2312" w:hAnsi="仿宋_GB2312" w:cs="仿宋_GB2312"/>
          <w:bCs/>
          <w:sz w:val="32"/>
          <w:szCs w:val="32"/>
        </w:rPr>
        <w:t>自禁</w:t>
      </w:r>
      <w:proofErr w:type="gramStart"/>
      <w:r>
        <w:rPr>
          <w:rFonts w:ascii="仿宋_GB2312" w:eastAsia="仿宋_GB2312" w:hAnsi="仿宋_GB2312" w:cs="仿宋_GB2312"/>
          <w:bCs/>
          <w:sz w:val="32"/>
          <w:szCs w:val="32"/>
        </w:rPr>
        <w:t>捕退捕工作</w:t>
      </w:r>
      <w:proofErr w:type="gramEnd"/>
      <w:r>
        <w:rPr>
          <w:rFonts w:ascii="仿宋_GB2312" w:eastAsia="仿宋_GB2312" w:hAnsi="仿宋_GB2312" w:cs="仿宋_GB2312"/>
          <w:bCs/>
          <w:sz w:val="32"/>
          <w:szCs w:val="32"/>
        </w:rPr>
        <w:t>开展以来，我市深入</w:t>
      </w:r>
      <w:proofErr w:type="gramStart"/>
      <w:r>
        <w:rPr>
          <w:rFonts w:ascii="仿宋_GB2312" w:eastAsia="仿宋_GB2312" w:hAnsi="仿宋_GB2312" w:cs="仿宋_GB2312"/>
          <w:bCs/>
          <w:sz w:val="32"/>
          <w:szCs w:val="32"/>
        </w:rPr>
        <w:t>践行</w:t>
      </w:r>
      <w:proofErr w:type="gramEnd"/>
      <w:r>
        <w:rPr>
          <w:rFonts w:ascii="仿宋_GB2312" w:eastAsia="仿宋_GB2312" w:hAnsi="仿宋_GB2312" w:cs="仿宋_GB2312"/>
          <w:bCs/>
          <w:sz w:val="32"/>
          <w:szCs w:val="32"/>
        </w:rPr>
        <w:t>习近平生态文明思想，认真贯彻习近平总书记重要指示批示精神，紧紧围绕“禁得住、退得出、能小康”总体目标，科学谋划、周密部署、</w:t>
      </w:r>
      <w:proofErr w:type="gramStart"/>
      <w:r>
        <w:rPr>
          <w:rFonts w:ascii="仿宋_GB2312" w:eastAsia="仿宋_GB2312" w:hAnsi="仿宋_GB2312" w:cs="仿宋_GB2312"/>
          <w:bCs/>
          <w:sz w:val="32"/>
          <w:szCs w:val="32"/>
        </w:rPr>
        <w:t>超强调度</w:t>
      </w:r>
      <w:proofErr w:type="gramEnd"/>
      <w:r>
        <w:rPr>
          <w:rFonts w:ascii="仿宋_GB2312" w:eastAsia="仿宋_GB2312" w:hAnsi="仿宋_GB2312" w:cs="仿宋_GB2312"/>
          <w:bCs/>
          <w:sz w:val="32"/>
          <w:szCs w:val="32"/>
        </w:rPr>
        <w:t>、压茬推进，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有力有序有效推动禁捕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退捕各项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工作的落实。在加大禁捕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退捕资金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补助力度方面，我们主要做了四个方面的工作，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一是各县</w:t>
      </w:r>
      <w:r>
        <w:rPr>
          <w:rFonts w:ascii="仿宋_GB2312" w:eastAsia="仿宋_GB2312" w:hAnsi="仿宋_GB2312" w:cs="仿宋_GB2312"/>
          <w:sz w:val="32"/>
          <w:szCs w:val="32"/>
        </w:rPr>
        <w:t>制定出台了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禁捕退捕船网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工具回收处置办法，明确渔具网具补偿范围和补偿标准，</w:t>
      </w:r>
      <w:r>
        <w:rPr>
          <w:rFonts w:ascii="仿宋_GB2312" w:eastAsia="仿宋_GB2312" w:hAnsi="仿宋_GB2312" w:cs="仿宋_GB2312" w:hint="eastAsia"/>
          <w:sz w:val="32"/>
          <w:szCs w:val="32"/>
        </w:rPr>
        <w:t>以</w:t>
      </w:r>
      <w:r>
        <w:rPr>
          <w:rFonts w:ascii="仿宋_GB2312" w:eastAsia="仿宋_GB2312" w:hAnsi="仿宋_GB2312" w:cs="仿宋_GB2312"/>
          <w:sz w:val="32"/>
          <w:szCs w:val="32"/>
        </w:rPr>
        <w:t>让利于民</w:t>
      </w:r>
      <w:r>
        <w:rPr>
          <w:rFonts w:ascii="仿宋_GB2312" w:eastAsia="仿宋_GB2312" w:hAnsi="仿宋_GB2312" w:cs="仿宋_GB2312" w:hint="eastAsia"/>
          <w:sz w:val="32"/>
          <w:szCs w:val="32"/>
        </w:rPr>
        <w:t>为</w:t>
      </w:r>
      <w:r>
        <w:rPr>
          <w:rFonts w:ascii="仿宋_GB2312" w:eastAsia="仿宋_GB2312" w:hAnsi="仿宋_GB2312" w:cs="仿宋_GB2312"/>
          <w:sz w:val="32"/>
          <w:szCs w:val="32"/>
        </w:rPr>
        <w:t>原则，聘请第三方评估公司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对退捕船网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进行评估和称重，最大程度减少渔民损失。</w:t>
      </w:r>
      <w:r>
        <w:rPr>
          <w:rFonts w:ascii="仿宋_GB2312" w:eastAsia="仿宋_GB2312" w:hAnsi="仿宋_GB2312" w:cs="仿宋_GB2312" w:hint="eastAsia"/>
          <w:sz w:val="32"/>
          <w:szCs w:val="32"/>
        </w:rPr>
        <w:t>针对余干县建档立卡时因网具回收进行了限额（网具每户不超过8000元）造成部分渔民手中还存留少量网具情况，按照“减少渔民损失，切实做到渔船渔网应收尽收”的原则，余干县已将残留网具如数回收；二</w:t>
      </w:r>
      <w:r>
        <w:rPr>
          <w:rFonts w:ascii="仿宋_GB2312" w:eastAsia="仿宋_GB2312" w:hAnsi="仿宋_GB2312" w:cs="仿宋_GB2312"/>
          <w:sz w:val="32"/>
          <w:szCs w:val="32"/>
        </w:rPr>
        <w:t>是安排一年期一次性过渡期生活补贴，专业渔民一年期的过渡性补助为每户12000元，兼业渔民补贴标准为每户6000元；</w:t>
      </w:r>
      <w:r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/>
          <w:sz w:val="32"/>
          <w:szCs w:val="32"/>
        </w:rPr>
        <w:t>是落实养老保障制度，在专业渔民方面，各退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捕任务县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均按照全省上年度全口径城镇单位就业人员年平均工资×60％×12％的标准进行补助；在兼业渔民方面，按2700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元（或3000</w:t>
      </w:r>
      <w:r>
        <w:rPr>
          <w:rFonts w:ascii="仿宋_GB2312" w:eastAsia="仿宋_GB2312" w:hAnsi="仿宋_GB2312" w:cs="仿宋_GB2312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/>
          <w:sz w:val="32"/>
          <w:szCs w:val="32"/>
        </w:rPr>
        <w:t>/年标准补助。</w:t>
      </w:r>
      <w:r>
        <w:rPr>
          <w:rFonts w:ascii="仿宋_GB2312" w:eastAsia="仿宋_GB2312" w:hAnsi="仿宋_GB2312" w:cs="仿宋_GB2312"/>
          <w:sz w:val="32"/>
          <w:szCs w:val="32"/>
          <w:lang w:val="zh-CN"/>
        </w:rPr>
        <w:t>余干县还将</w:t>
      </w:r>
      <w:r>
        <w:rPr>
          <w:rFonts w:ascii="仿宋_GB2312" w:eastAsia="仿宋_GB2312" w:hAnsi="仿宋_GB2312" w:cs="仿宋_GB2312"/>
          <w:sz w:val="32"/>
          <w:szCs w:val="32"/>
        </w:rPr>
        <w:t>后续14年的退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民养老保障补助资金8680万元拨付至社保专户，专款用于退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民养老保障</w:t>
      </w:r>
      <w:r>
        <w:rPr>
          <w:rFonts w:ascii="仿宋_GB2312" w:eastAsia="仿宋_GB2312" w:hAnsi="仿宋_GB2312" w:cs="仿宋_GB2312" w:hint="eastAsia"/>
          <w:sz w:val="32"/>
          <w:szCs w:val="32"/>
        </w:rPr>
        <w:t>；四</w:t>
      </w:r>
      <w:r>
        <w:rPr>
          <w:rFonts w:ascii="仿宋_GB2312" w:eastAsia="仿宋_GB2312" w:hAnsi="仿宋_GB2312" w:cs="仿宋_GB2312"/>
          <w:sz w:val="32"/>
          <w:szCs w:val="32"/>
        </w:rPr>
        <w:t>是兜牢民生底线，妥善安排解决退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民的医疗和子女教育，将退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捕渔民统一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纳入大病保险和大病救助范围，将符合条件的血防区退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民纳入当地血吸虫病救助对象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  <w:r>
        <w:rPr>
          <w:rFonts w:ascii="仿宋_GB2312" w:eastAsia="仿宋_GB2312" w:hAnsi="仿宋_GB2312" w:cs="仿宋_GB2312"/>
          <w:sz w:val="32"/>
          <w:szCs w:val="32"/>
        </w:rPr>
        <w:t>对遭遇突发性、紧迫性、临时性基本生活困难的禁捕退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民，切实加强民政兜底保障，</w:t>
      </w:r>
      <w:r>
        <w:rPr>
          <w:rFonts w:ascii="仿宋_GB2312" w:eastAsia="仿宋_GB2312" w:hAnsi="仿宋_GB2312" w:cs="仿宋_GB2312" w:hint="eastAsia"/>
          <w:sz w:val="32"/>
          <w:szCs w:val="32"/>
        </w:rPr>
        <w:t>严防退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民</w:t>
      </w:r>
      <w:r>
        <w:rPr>
          <w:rFonts w:ascii="仿宋_GB2312" w:eastAsia="仿宋_GB2312" w:hAnsi="仿宋_GB2312" w:cs="仿宋_GB2312"/>
          <w:sz w:val="32"/>
          <w:szCs w:val="32"/>
        </w:rPr>
        <w:t>返贫致贫。</w:t>
      </w:r>
    </w:p>
    <w:p w:rsidR="00777FAD" w:rsidRDefault="003A586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下一步，我们将按照您的建议，继续做好退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民务工交通补贴发放，及时兑付养老保险资金；进一步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加大就业扶持和公益性岗位的开发力度，</w:t>
      </w:r>
      <w:r>
        <w:rPr>
          <w:rFonts w:ascii="仿宋_GB2312" w:eastAsia="仿宋_GB2312" w:hAnsi="仿宋_GB2312" w:cs="仿宋_GB2312" w:hint="eastAsia"/>
          <w:sz w:val="32"/>
          <w:szCs w:val="32"/>
        </w:rPr>
        <w:t>加强对退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捕渔民就业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动态监测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，确保“零就业”家庭动态清零。</w:t>
      </w:r>
    </w:p>
    <w:p w:rsidR="00777FAD" w:rsidRDefault="003A586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 xml:space="preserve">　　二、关于加大项目支持力度建议。</w:t>
      </w:r>
      <w:r>
        <w:rPr>
          <w:rFonts w:ascii="仿宋_GB2312" w:eastAsia="仿宋_GB2312" w:hAnsi="仿宋_GB2312" w:cs="仿宋_GB2312" w:hint="eastAsia"/>
          <w:sz w:val="32"/>
          <w:szCs w:val="32"/>
        </w:rPr>
        <w:t>禁捕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退捕工作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以来，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我们注重以打造“生态鄱阳湖、绿色农产品”品牌为契机，以湖区县为依托，做大做强退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村村集体经济，加快鄱阳湖小龙虾、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鳝鳅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和龟鳖等产业的发展，在渔区加快推进生态、高效、集约化蔬菜种养和示范基地建设。余干县投资1.2亿元，建成蔬菜种植产业基地和菌菇种植专业合作社联合社基地，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带动瑞洪19个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渔村1089户退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民务工就业。全市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拔付退捕专业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渔村产业扶持资金1360万元，用于发展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退捕专业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渔村集体经济，帮助退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捕渔民实现家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门口就业。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余干县康山乡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忠义文化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园加强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村建房管理和特色风貌引导，推广具有乡土气息、文化韵律、渔乡风味的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鄱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湖民居、特色民居。</w:t>
      </w:r>
    </w:p>
    <w:p w:rsidR="00777FAD" w:rsidRDefault="003A586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下一步，我们将接受您的建议，进一步加大退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捕渔民创业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贷款扶持力度，加强专业渔村基础设施建设，加大对鄱阳湖区项目倾斜力度，进一步发展河湖绿色经济。</w:t>
      </w:r>
    </w:p>
    <w:p w:rsidR="00777FAD" w:rsidRDefault="003A586C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以上答复，不妥之处，请批评指正</w:t>
      </w:r>
      <w:r>
        <w:rPr>
          <w:rFonts w:ascii="仿宋_GB2312" w:eastAsia="仿宋_GB2312" w:hAnsi="仿宋_GB2312" w:cs="仿宋_GB2312"/>
          <w:sz w:val="32"/>
          <w:szCs w:val="32"/>
        </w:rPr>
        <w:t xml:space="preserve">!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</w:p>
    <w:p w:rsidR="00777FAD" w:rsidRDefault="00777FAD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777FAD" w:rsidRDefault="00777FAD">
      <w:pPr>
        <w:pStyle w:val="a0"/>
        <w:rPr>
          <w:rFonts w:ascii="仿宋_GB2312" w:eastAsia="仿宋_GB2312" w:hAnsi="仿宋_GB2312" w:cs="仿宋_GB2312"/>
          <w:sz w:val="32"/>
          <w:szCs w:val="32"/>
        </w:rPr>
      </w:pPr>
    </w:p>
    <w:p w:rsidR="00777FAD" w:rsidRDefault="00777FAD">
      <w:pPr>
        <w:pStyle w:val="a4"/>
        <w:rPr>
          <w:rFonts w:ascii="仿宋_GB2312" w:eastAsia="仿宋_GB2312" w:hAnsi="仿宋_GB2312" w:cs="仿宋_GB2312"/>
          <w:sz w:val="32"/>
          <w:szCs w:val="32"/>
        </w:rPr>
      </w:pPr>
    </w:p>
    <w:p w:rsidR="00777FAD" w:rsidRDefault="003A586C">
      <w:pPr>
        <w:pStyle w:val="a4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　　　　上饶市农业农村局</w:t>
      </w:r>
    </w:p>
    <w:p w:rsidR="00777FAD" w:rsidRDefault="003A586C">
      <w:pPr>
        <w:pStyle w:val="a4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　　　　　2022年7月5日</w:t>
      </w:r>
    </w:p>
    <w:p w:rsidR="005713BC" w:rsidRDefault="005713BC" w:rsidP="005713BC">
      <w:pPr>
        <w:pStyle w:val="a0"/>
        <w:rPr>
          <w:rFonts w:ascii="仿宋_GB2312" w:eastAsia="仿宋_GB2312" w:hAnsi="仿宋_GB2312" w:cs="仿宋_GB2312"/>
          <w:sz w:val="32"/>
          <w:szCs w:val="32"/>
        </w:rPr>
      </w:pPr>
    </w:p>
    <w:p w:rsidR="005713BC" w:rsidRPr="005713BC" w:rsidRDefault="005713BC" w:rsidP="005713BC">
      <w:pPr>
        <w:pStyle w:val="a0"/>
        <w:rPr>
          <w:rFonts w:ascii="仿宋_GB2312" w:eastAsia="仿宋_GB2312" w:hAnsi="仿宋_GB2312" w:cs="仿宋_GB2312"/>
          <w:sz w:val="32"/>
          <w:szCs w:val="32"/>
        </w:rPr>
      </w:pPr>
      <w:r w:rsidRPr="005713BC">
        <w:rPr>
          <w:rFonts w:ascii="仿宋_GB2312" w:eastAsia="仿宋_GB2312" w:hAnsi="仿宋_GB2312" w:cs="仿宋_GB2312"/>
          <w:sz w:val="32"/>
          <w:szCs w:val="32"/>
        </w:rPr>
        <w:t>抄  送：市人大常委会选任联工委、市政府督查室</w:t>
      </w:r>
    </w:p>
    <w:p w:rsidR="005713BC" w:rsidRPr="005713BC" w:rsidRDefault="005713BC" w:rsidP="005713BC">
      <w:pPr>
        <w:pStyle w:val="a0"/>
        <w:rPr>
          <w:rFonts w:ascii="仿宋_GB2312" w:eastAsia="仿宋_GB2312" w:hAnsi="仿宋_GB2312" w:cs="仿宋_GB2312"/>
          <w:sz w:val="32"/>
          <w:szCs w:val="32"/>
        </w:rPr>
      </w:pPr>
      <w:r w:rsidRPr="005713BC">
        <w:rPr>
          <w:rFonts w:ascii="仿宋_GB2312" w:eastAsia="仿宋_GB2312" w:hAnsi="仿宋_GB2312" w:cs="仿宋_GB2312"/>
          <w:sz w:val="32"/>
          <w:szCs w:val="32"/>
        </w:rPr>
        <w:t>联系人（姓名、职务）：</w:t>
      </w:r>
      <w:r w:rsidRPr="005713BC">
        <w:rPr>
          <w:rFonts w:ascii="仿宋_GB2312" w:eastAsia="仿宋_GB2312" w:hAnsi="仿宋_GB2312" w:cs="仿宋_GB2312" w:hint="eastAsia"/>
          <w:sz w:val="32"/>
          <w:szCs w:val="32"/>
        </w:rPr>
        <w:t>渔业渔政科  余顶立  13707938538</w:t>
      </w:r>
    </w:p>
    <w:sectPr w:rsidR="005713BC" w:rsidRPr="005713BC" w:rsidSect="00777F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D26" w:rsidRDefault="006A3D26" w:rsidP="005713BC">
      <w:r>
        <w:separator/>
      </w:r>
    </w:p>
  </w:endnote>
  <w:endnote w:type="continuationSeparator" w:id="0">
    <w:p w:rsidR="006A3D26" w:rsidRDefault="006A3D26" w:rsidP="00571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D26" w:rsidRDefault="006A3D26" w:rsidP="005713BC">
      <w:r>
        <w:separator/>
      </w:r>
    </w:p>
  </w:footnote>
  <w:footnote w:type="continuationSeparator" w:id="0">
    <w:p w:rsidR="006A3D26" w:rsidRDefault="006A3D26" w:rsidP="005713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gyNGZjOTRmYTA5ZmJlNzc2MmMxZmFjOWZhZDAyYWYifQ=="/>
  </w:docVars>
  <w:rsids>
    <w:rsidRoot w:val="34924AE3"/>
    <w:rsid w:val="003A586C"/>
    <w:rsid w:val="005713BC"/>
    <w:rsid w:val="006A3D26"/>
    <w:rsid w:val="00777FAD"/>
    <w:rsid w:val="00C60C1B"/>
    <w:rsid w:val="00DB3BEF"/>
    <w:rsid w:val="15485A90"/>
    <w:rsid w:val="17DF4B4C"/>
    <w:rsid w:val="34924AE3"/>
    <w:rsid w:val="377140F5"/>
    <w:rsid w:val="5B9B0595"/>
    <w:rsid w:val="7B8401D8"/>
    <w:rsid w:val="7C94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777FA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next w:val="a4"/>
    <w:link w:val="Char"/>
    <w:qFormat/>
    <w:rsid w:val="00777FAD"/>
    <w:rPr>
      <w:rFonts w:ascii="宋体" w:hAnsi="Courier New" w:cs="Courier New"/>
      <w:szCs w:val="21"/>
    </w:rPr>
  </w:style>
  <w:style w:type="paragraph" w:styleId="a4">
    <w:name w:val="header"/>
    <w:basedOn w:val="a"/>
    <w:qFormat/>
    <w:rsid w:val="00777FA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ody Text"/>
    <w:basedOn w:val="a"/>
    <w:next w:val="a"/>
    <w:qFormat/>
    <w:rsid w:val="00777FAD"/>
    <w:rPr>
      <w:rFonts w:eastAsia="仿宋_GB2312" w:cs="宋体"/>
      <w:sz w:val="24"/>
      <w:szCs w:val="24"/>
    </w:rPr>
  </w:style>
  <w:style w:type="paragraph" w:styleId="2">
    <w:name w:val="Body Text 2"/>
    <w:basedOn w:val="a"/>
    <w:qFormat/>
    <w:rsid w:val="00777FAD"/>
    <w:pPr>
      <w:ind w:firstLineChars="200" w:firstLine="420"/>
    </w:pPr>
    <w:rPr>
      <w:rFonts w:ascii="Times New Roman" w:eastAsia="仿宋_GB2312" w:hAnsi="Times New Roman"/>
      <w:sz w:val="30"/>
    </w:rPr>
  </w:style>
  <w:style w:type="paragraph" w:styleId="a6">
    <w:name w:val="footer"/>
    <w:basedOn w:val="a"/>
    <w:link w:val="Char0"/>
    <w:rsid w:val="005713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5713BC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纯文本 Char"/>
    <w:basedOn w:val="a1"/>
    <w:link w:val="a0"/>
    <w:rsid w:val="005713BC"/>
    <w:rPr>
      <w:rFonts w:ascii="宋体" w:eastAsia="宋体" w:hAnsi="Courier New" w:cs="Courier New"/>
      <w:kern w:val="2"/>
      <w:sz w:val="21"/>
      <w:szCs w:val="21"/>
    </w:rPr>
  </w:style>
  <w:style w:type="paragraph" w:styleId="a7">
    <w:name w:val="Date"/>
    <w:basedOn w:val="a"/>
    <w:next w:val="a"/>
    <w:link w:val="Char1"/>
    <w:rsid w:val="005713BC"/>
    <w:pPr>
      <w:ind w:leftChars="2500" w:left="100"/>
    </w:pPr>
  </w:style>
  <w:style w:type="character" w:customStyle="1" w:styleId="Char1">
    <w:name w:val="日期 Char"/>
    <w:basedOn w:val="a1"/>
    <w:link w:val="a7"/>
    <w:rsid w:val="005713BC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顶立</dc:creator>
  <cp:lastModifiedBy>上饶市农业局收发员</cp:lastModifiedBy>
  <cp:revision>4</cp:revision>
  <dcterms:created xsi:type="dcterms:W3CDTF">2022-07-05T11:06:00Z</dcterms:created>
  <dcterms:modified xsi:type="dcterms:W3CDTF">2022-08-23T10:04:00Z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BA2B66C770864244BCCE8F91ACA5DD69</vt:lpwstr>
  </property>
</Properties>
</file>