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92" w:rsidRDefault="00A15292" w:rsidP="00A15292">
      <w:pPr>
        <w:pStyle w:val="a0"/>
        <w:ind w:firstLine="1386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A15292" w:rsidRDefault="00A15292" w:rsidP="00A15292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rFonts w:ascii="Times New Roman" w:hAnsi="Times New Roman"/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hint="eastAsia"/>
          <w:color w:val="000000"/>
          <w:kern w:val="0"/>
          <w:sz w:val="32"/>
          <w:szCs w:val="32"/>
        </w:rPr>
        <w:t>24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A15292" w:rsidRDefault="00A15292" w:rsidP="00A15292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rFonts w:ascii="Times New Roman" w:hAnsi="Times New Roman"/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A15292" w:rsidRPr="007F5B3E" w:rsidRDefault="00A15292" w:rsidP="00A15292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A15292" w:rsidRDefault="00A15292" w:rsidP="00A15292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关于市五届人大二次会议</w:t>
      </w:r>
    </w:p>
    <w:p w:rsidR="00A15292" w:rsidRDefault="00A15292" w:rsidP="00A15292">
      <w:pPr>
        <w:widowControl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hint="eastAsia"/>
          <w:color w:val="000000"/>
          <w:kern w:val="0"/>
          <w:sz w:val="44"/>
          <w:szCs w:val="44"/>
        </w:rPr>
        <w:t>154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152330" w:rsidRDefault="0015233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3"/>
          <w:szCs w:val="43"/>
          <w:lang/>
        </w:rPr>
      </w:pPr>
    </w:p>
    <w:p w:rsidR="00152330" w:rsidRDefault="00331677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占红福代</w:t>
      </w:r>
      <w:r>
        <w:rPr>
          <w:rFonts w:ascii="仿宋" w:eastAsia="仿宋" w:hAnsi="仿宋" w:cs="仿宋" w:hint="eastAsia"/>
          <w:bCs/>
          <w:sz w:val="32"/>
          <w:szCs w:val="32"/>
        </w:rPr>
        <w:t>表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：</w:t>
      </w:r>
    </w:p>
    <w:p w:rsidR="00152330" w:rsidRDefault="00331677">
      <w:pPr>
        <w:spacing w:line="520" w:lineRule="exact"/>
        <w:jc w:val="center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Cs/>
          <w:sz w:val="32"/>
          <w:szCs w:val="32"/>
        </w:rPr>
        <w:t>您在市五届人大二次会议提出的《关于支持湖区农村农业产业发展的建议》（第</w:t>
      </w:r>
      <w:r>
        <w:rPr>
          <w:rFonts w:ascii="仿宋" w:eastAsia="仿宋" w:hAnsi="仿宋" w:cs="仿宋" w:hint="eastAsia"/>
          <w:bCs/>
          <w:sz w:val="32"/>
          <w:szCs w:val="32"/>
        </w:rPr>
        <w:t>154</w:t>
      </w:r>
      <w:r>
        <w:rPr>
          <w:rFonts w:ascii="仿宋" w:eastAsia="仿宋" w:hAnsi="仿宋" w:cs="仿宋" w:hint="eastAsia"/>
          <w:bCs/>
          <w:sz w:val="32"/>
          <w:szCs w:val="32"/>
        </w:rPr>
        <w:t>号）收悉。根据市政府办公室要求，该建议由我局主办，鄱阳县政府协办。我们均高度重视您所反映的问题，在办理过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32"/>
          <w:szCs w:val="32"/>
        </w:rPr>
        <w:t>程中通过电话方式与您进行了积极沟通。现根据我局与鄱阳县政府承办情况向您答复如下：</w:t>
      </w:r>
    </w:p>
    <w:p w:rsidR="00152330" w:rsidRDefault="00331677">
      <w:pPr>
        <w:spacing w:line="560" w:lineRule="exac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　　</w:t>
      </w:r>
      <w:r>
        <w:rPr>
          <w:rFonts w:ascii="黑体" w:eastAsia="黑体" w:hAnsi="黑体" w:cs="黑体" w:hint="eastAsia"/>
          <w:bCs/>
          <w:sz w:val="32"/>
          <w:szCs w:val="32"/>
        </w:rPr>
        <w:t>一、关于加大对湖区农业产业的资金项目倾斜力度建议。</w:t>
      </w:r>
      <w:r>
        <w:rPr>
          <w:rFonts w:ascii="仿宋" w:eastAsia="仿宋" w:hAnsi="仿宋" w:cs="仿宋" w:hint="eastAsia"/>
          <w:bCs/>
          <w:sz w:val="32"/>
          <w:szCs w:val="32"/>
        </w:rPr>
        <w:t>我市高度重视湖区农业产业发展，特别注重湖区渔业项目资金倾斜，</w:t>
      </w:r>
      <w:r>
        <w:rPr>
          <w:rFonts w:ascii="仿宋" w:eastAsia="仿宋" w:hAnsi="仿宋" w:cs="仿宋" w:hint="eastAsia"/>
          <w:bCs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sz w:val="32"/>
          <w:szCs w:val="32"/>
        </w:rPr>
        <w:t>年度至</w:t>
      </w:r>
      <w:r>
        <w:rPr>
          <w:rFonts w:ascii="仿宋" w:eastAsia="仿宋" w:hAnsi="仿宋" w:cs="仿宋" w:hint="eastAsia"/>
          <w:bCs/>
          <w:sz w:val="32"/>
          <w:szCs w:val="32"/>
        </w:rPr>
        <w:t>2022</w:t>
      </w:r>
      <w:r>
        <w:rPr>
          <w:rFonts w:ascii="仿宋" w:eastAsia="仿宋" w:hAnsi="仿宋" w:cs="仿宋" w:hint="eastAsia"/>
          <w:bCs/>
          <w:sz w:val="32"/>
          <w:szCs w:val="32"/>
        </w:rPr>
        <w:t>年度上饶市下达鄱阳县油价补贴统筹、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稻渔种养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等渔业项目资金</w:t>
      </w:r>
      <w:r>
        <w:rPr>
          <w:rFonts w:ascii="仿宋" w:eastAsia="仿宋" w:hAnsi="仿宋" w:cs="仿宋" w:hint="eastAsia"/>
          <w:bCs/>
          <w:sz w:val="32"/>
          <w:szCs w:val="32"/>
        </w:rPr>
        <w:t>5000</w:t>
      </w:r>
      <w:r>
        <w:rPr>
          <w:rFonts w:ascii="仿宋" w:eastAsia="仿宋" w:hAnsi="仿宋" w:cs="仿宋" w:hint="eastAsia"/>
          <w:bCs/>
          <w:sz w:val="32"/>
          <w:szCs w:val="32"/>
        </w:rPr>
        <w:t>余万元，主要用于精养渔池改造、冷链仓储建设、智慧渔业建设、养殖尾水处理、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稻虾种养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设施建设等项目。莲湖乡的实施主体已申报并建设了渔业项目</w:t>
      </w:r>
      <w:r>
        <w:rPr>
          <w:rFonts w:ascii="仿宋" w:eastAsia="仿宋" w:hAnsi="仿宋" w:cs="仿宋" w:hint="eastAsia"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z w:val="32"/>
          <w:szCs w:val="32"/>
        </w:rPr>
        <w:t>个。</w:t>
      </w:r>
    </w:p>
    <w:p w:rsidR="00152330" w:rsidRDefault="00331677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二、关于加大对湖区农业技术培训指导力度建议。</w:t>
      </w:r>
      <w:r>
        <w:rPr>
          <w:rFonts w:ascii="仿宋" w:eastAsia="仿宋" w:hAnsi="仿宋" w:cs="仿宋" w:hint="eastAsia"/>
          <w:bCs/>
          <w:sz w:val="32"/>
          <w:szCs w:val="32"/>
        </w:rPr>
        <w:t>农业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农村部门每年制定并实施各种农业种植、养殖培训计划，组织对农民、渔民开展各种技术培训与指导，尤其加大对禁捕退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捕渔民技术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的培训与指导。省农业厅组织的“农业大讲堂”，由省、市、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县专家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深入田间地头，对农民、渔民进行现场政策宣传、技术指导，实现乡镇全覆盖，效果显著；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禁捕退捕后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，农业农村部门多次联合就业等部门对禁捕退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捕渔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民进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行就业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培训与指导，让退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捕渔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民学到增强就业本领，提高就业稳定性；并选派部分农业带头人到南昌、省外发达地区学习更加先进的技术和经验。</w:t>
      </w:r>
    </w:p>
    <w:p w:rsidR="00152330" w:rsidRDefault="00331677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三、关于多种渠道提升农业产业收入建议。</w:t>
      </w:r>
      <w:r>
        <w:rPr>
          <w:rFonts w:ascii="仿宋" w:eastAsia="仿宋" w:hAnsi="仿宋" w:cs="仿宋" w:hint="eastAsia"/>
          <w:bCs/>
          <w:sz w:val="32"/>
          <w:szCs w:val="32"/>
        </w:rPr>
        <w:t>关于农产品附加值不高、品牌效应不响、销售渠道不广的问题，确实是我们农业产业短板。近几年</w:t>
      </w:r>
      <w:r>
        <w:rPr>
          <w:rFonts w:ascii="仿宋" w:eastAsia="仿宋" w:hAnsi="仿宋" w:cs="仿宋" w:hint="eastAsia"/>
          <w:bCs/>
          <w:sz w:val="32"/>
          <w:szCs w:val="32"/>
        </w:rPr>
        <w:t>,</w:t>
      </w:r>
      <w:r>
        <w:rPr>
          <w:rFonts w:ascii="仿宋" w:eastAsia="仿宋" w:hAnsi="仿宋" w:cs="仿宋" w:hint="eastAsia"/>
          <w:bCs/>
          <w:sz w:val="32"/>
          <w:szCs w:val="32"/>
        </w:rPr>
        <w:t>在相关政策的支持下，上饶市加快农业转型与供给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侧改革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步伐，通过科研院所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龙头企业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政府的资源整合模式、生态农业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智慧农业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特色文化的品牌构建模式、互联网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农业生产基地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农产品加工业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现代服务业的产业融合模式、合作社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农户</w:t>
      </w:r>
      <w:r>
        <w:rPr>
          <w:rFonts w:ascii="仿宋" w:eastAsia="仿宋" w:hAnsi="仿宋" w:cs="仿宋" w:hint="eastAsia"/>
          <w:bCs/>
          <w:sz w:val="32"/>
          <w:szCs w:val="32"/>
        </w:rPr>
        <w:t>+</w:t>
      </w:r>
      <w:r>
        <w:rPr>
          <w:rFonts w:ascii="仿宋" w:eastAsia="仿宋" w:hAnsi="仿宋" w:cs="仿宋" w:hint="eastAsia"/>
          <w:bCs/>
          <w:sz w:val="32"/>
          <w:szCs w:val="32"/>
        </w:rPr>
        <w:t>龙头企业的富民模式，扩展优质农产品销路，促进农民增收。</w:t>
      </w:r>
    </w:p>
    <w:p w:rsidR="00152330" w:rsidRDefault="00331677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下一步，我们将根据湖区农业发展实际情况，通过系列农业项目不断提高产业现代化和规模化；继续对湖区、退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捕渔民开展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各种形式的种养殖业技术培训，让农民、退</w:t>
      </w:r>
      <w:proofErr w:type="gramStart"/>
      <w:r>
        <w:rPr>
          <w:rFonts w:ascii="仿宋" w:eastAsia="仿宋" w:hAnsi="仿宋" w:cs="仿宋" w:hint="eastAsia"/>
          <w:bCs/>
          <w:sz w:val="32"/>
          <w:szCs w:val="32"/>
        </w:rPr>
        <w:t>捕渔民成为</w:t>
      </w:r>
      <w:proofErr w:type="gramEnd"/>
      <w:r>
        <w:rPr>
          <w:rFonts w:ascii="仿宋" w:eastAsia="仿宋" w:hAnsi="仿宋" w:cs="仿宋" w:hint="eastAsia"/>
          <w:bCs/>
          <w:sz w:val="32"/>
          <w:szCs w:val="32"/>
        </w:rPr>
        <w:t>真正的“农专家”；不断探索新的农产品购销模式、农产品深加工技术、农业与文化融合，加快乡村振兴步伐。</w:t>
      </w:r>
    </w:p>
    <w:p w:rsidR="00152330" w:rsidRDefault="00331677">
      <w:pPr>
        <w:widowControl/>
        <w:spacing w:line="560" w:lineRule="exact"/>
        <w:ind w:firstLine="620"/>
        <w:jc w:val="left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以上答复，不妥之处，请批评指正</w:t>
      </w:r>
      <w:r>
        <w:rPr>
          <w:rFonts w:ascii="仿宋_GB2312" w:eastAsia="仿宋_GB2312" w:hAnsi="仿宋_GB2312" w:cs="仿宋_GB2312"/>
          <w:sz w:val="32"/>
          <w:szCs w:val="32"/>
        </w:rPr>
        <w:t xml:space="preserve">! 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　　</w:t>
      </w:r>
    </w:p>
    <w:p w:rsidR="00152330" w:rsidRDefault="00331677">
      <w:pPr>
        <w:widowControl/>
        <w:spacing w:line="560" w:lineRule="exact"/>
        <w:ind w:firstLine="620"/>
        <w:jc w:val="left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　　　　　　　　　　　</w:t>
      </w:r>
    </w:p>
    <w:p w:rsidR="00152330" w:rsidRDefault="00152330">
      <w:pPr>
        <w:pStyle w:val="2"/>
        <w:spacing w:line="560" w:lineRule="exact"/>
        <w:ind w:firstLineChars="1400" w:firstLine="4480"/>
        <w:rPr>
          <w:rFonts w:ascii="仿宋_GB2312" w:eastAsia="仿宋_GB2312" w:hAnsi="仿宋_GB2312" w:cs="仿宋_GB2312"/>
          <w:b w:val="0"/>
          <w:bCs w:val="0"/>
          <w:color w:val="333333"/>
          <w:shd w:val="clear" w:color="auto" w:fill="FFFFFF"/>
        </w:rPr>
      </w:pPr>
    </w:p>
    <w:p w:rsidR="00152330" w:rsidRDefault="00152330">
      <w:pPr>
        <w:pStyle w:val="2"/>
        <w:spacing w:line="360" w:lineRule="exact"/>
        <w:ind w:firstLineChars="1400" w:firstLine="4480"/>
        <w:rPr>
          <w:rFonts w:ascii="仿宋_GB2312" w:eastAsia="仿宋_GB2312" w:hAnsi="仿宋_GB2312" w:cs="仿宋_GB2312"/>
          <w:b w:val="0"/>
          <w:bCs w:val="0"/>
          <w:color w:val="333333"/>
          <w:shd w:val="clear" w:color="auto" w:fill="FFFFFF"/>
        </w:rPr>
      </w:pPr>
    </w:p>
    <w:p w:rsidR="00152330" w:rsidRDefault="00331677">
      <w:pPr>
        <w:pStyle w:val="2"/>
        <w:spacing w:line="360" w:lineRule="exact"/>
        <w:ind w:firstLineChars="1400" w:firstLine="4480"/>
        <w:rPr>
          <w:rFonts w:ascii="仿宋_GB2312" w:eastAsia="仿宋_GB2312" w:hAnsi="仿宋_GB2312" w:cs="仿宋_GB2312"/>
          <w:b w:val="0"/>
          <w:bCs w:val="0"/>
          <w:color w:val="333333"/>
          <w:shd w:val="clear" w:color="auto" w:fill="FFFFFF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上饶市农业农村局</w:t>
      </w:r>
    </w:p>
    <w:p w:rsidR="00152330" w:rsidRDefault="00331677">
      <w:pPr>
        <w:pStyle w:val="2"/>
        <w:spacing w:line="360" w:lineRule="exact"/>
        <w:rPr>
          <w:rFonts w:eastAsia="宋体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 xml:space="preserve">　　　　　　　　　　　　　　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2022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6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月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12</w:t>
      </w:r>
      <w:r>
        <w:rPr>
          <w:rFonts w:ascii="仿宋_GB2312" w:eastAsia="仿宋_GB2312" w:hAnsi="仿宋_GB2312" w:cs="仿宋_GB2312" w:hint="eastAsia"/>
          <w:b w:val="0"/>
          <w:bCs w:val="0"/>
          <w:color w:val="333333"/>
          <w:shd w:val="clear" w:color="auto" w:fill="FFFFFF"/>
        </w:rPr>
        <w:t>日</w:t>
      </w:r>
    </w:p>
    <w:p w:rsidR="00A15292" w:rsidRPr="00A15292" w:rsidRDefault="00A15292" w:rsidP="00A15292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A15292">
        <w:rPr>
          <w:rFonts w:ascii="仿宋" w:eastAsia="仿宋" w:hAnsi="仿宋" w:cs="仿宋"/>
          <w:bCs/>
          <w:sz w:val="32"/>
          <w:szCs w:val="32"/>
        </w:rPr>
        <w:t>抄  送：市人大常委会选任联工委、市政府督查室</w:t>
      </w:r>
    </w:p>
    <w:p w:rsidR="00152330" w:rsidRPr="00A15292" w:rsidRDefault="00A15292" w:rsidP="00A15292">
      <w:pPr>
        <w:spacing w:line="560" w:lineRule="exact"/>
        <w:ind w:firstLine="640"/>
        <w:rPr>
          <w:rFonts w:ascii="仿宋" w:eastAsia="仿宋" w:hAnsi="仿宋" w:cs="仿宋"/>
          <w:bCs/>
          <w:sz w:val="32"/>
          <w:szCs w:val="32"/>
        </w:rPr>
      </w:pPr>
      <w:r w:rsidRPr="00A15292">
        <w:rPr>
          <w:rFonts w:ascii="仿宋" w:eastAsia="仿宋" w:hAnsi="仿宋" w:cs="仿宋"/>
          <w:bCs/>
          <w:sz w:val="32"/>
          <w:szCs w:val="32"/>
        </w:rPr>
        <w:t>联系人（姓名、职务）：</w:t>
      </w:r>
      <w:r w:rsidRPr="00A15292">
        <w:rPr>
          <w:rFonts w:ascii="仿宋" w:eastAsia="仿宋" w:hAnsi="仿宋" w:cs="仿宋" w:hint="eastAsia"/>
          <w:bCs/>
          <w:sz w:val="32"/>
          <w:szCs w:val="32"/>
        </w:rPr>
        <w:t>渔业</w:t>
      </w:r>
      <w:proofErr w:type="gramStart"/>
      <w:r w:rsidRPr="00A15292">
        <w:rPr>
          <w:rFonts w:ascii="仿宋" w:eastAsia="仿宋" w:hAnsi="仿宋" w:cs="仿宋" w:hint="eastAsia"/>
          <w:bCs/>
          <w:sz w:val="32"/>
          <w:szCs w:val="32"/>
        </w:rPr>
        <w:t>渔政科</w:t>
      </w:r>
      <w:proofErr w:type="gramEnd"/>
      <w:r w:rsidRPr="00A15292">
        <w:rPr>
          <w:rFonts w:ascii="仿宋" w:eastAsia="仿宋" w:hAnsi="仿宋" w:cs="仿宋" w:hint="eastAsia"/>
          <w:bCs/>
          <w:sz w:val="32"/>
          <w:szCs w:val="32"/>
        </w:rPr>
        <w:t xml:space="preserve">  余顶立  13707938538</w:t>
      </w:r>
    </w:p>
    <w:sectPr w:rsidR="00152330" w:rsidRPr="00A15292" w:rsidSect="00152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77" w:rsidRDefault="00331677" w:rsidP="00A15292">
      <w:r>
        <w:separator/>
      </w:r>
    </w:p>
  </w:endnote>
  <w:endnote w:type="continuationSeparator" w:id="0">
    <w:p w:rsidR="00331677" w:rsidRDefault="00331677" w:rsidP="00A15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77" w:rsidRDefault="00331677" w:rsidP="00A15292">
      <w:r>
        <w:separator/>
      </w:r>
    </w:p>
  </w:footnote>
  <w:footnote w:type="continuationSeparator" w:id="0">
    <w:p w:rsidR="00331677" w:rsidRDefault="00331677" w:rsidP="00A15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gyNGZjOTRmYTA5ZmJlNzc2MmMxZmFjOWZhZDAyYWYifQ=="/>
  </w:docVars>
  <w:rsids>
    <w:rsidRoot w:val="08C57881"/>
    <w:rsid w:val="00152330"/>
    <w:rsid w:val="00331677"/>
    <w:rsid w:val="00A15292"/>
    <w:rsid w:val="08C57881"/>
    <w:rsid w:val="243E2231"/>
    <w:rsid w:val="26203608"/>
    <w:rsid w:val="2A205B80"/>
    <w:rsid w:val="3C3260ED"/>
    <w:rsid w:val="57AA60FA"/>
    <w:rsid w:val="6C3E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5233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rsid w:val="00152330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next w:val="a4"/>
    <w:link w:val="Char"/>
    <w:qFormat/>
    <w:rsid w:val="00152330"/>
    <w:rPr>
      <w:rFonts w:ascii="宋体" w:hAnsi="Courier New" w:cs="Courier New"/>
      <w:szCs w:val="21"/>
    </w:rPr>
  </w:style>
  <w:style w:type="paragraph" w:styleId="a4">
    <w:name w:val="header"/>
    <w:basedOn w:val="a"/>
    <w:qFormat/>
    <w:rsid w:val="0015233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link w:val="Char0"/>
    <w:rsid w:val="00A15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A15292"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1"/>
    <w:link w:val="a0"/>
    <w:rsid w:val="00A15292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顶立</dc:creator>
  <cp:lastModifiedBy>上饶市农业局收发员</cp:lastModifiedBy>
  <cp:revision>2</cp:revision>
  <dcterms:created xsi:type="dcterms:W3CDTF">2022-06-13T03:42:00Z</dcterms:created>
  <dcterms:modified xsi:type="dcterms:W3CDTF">2022-08-23T09:55:00Z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1C37E871E9864879BD92066566D7238D</vt:lpwstr>
  </property>
</Properties>
</file>